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be9" w14:textId="6ce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9 апреля 2018 года № 24-9. Зарегистрировано Управлением юстиции Зайсанского района Департамента юстиции Восточно-Казахстанской области 3 мая 2018 года за № 5-11-156.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номером 3217, опубликовано 12 апреля 2014 года в районной газете "Достык")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февраля, участникам боевых действий на территории других государств, а именно: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35 месячных расчетных показателей;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государств, в которых велись боевые действия - 35 месячных расчетных показателей;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- 5 месячных расчетных показателей;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- 35 месячных расчетных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- 25 месячных расчетных показателей;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- 35 месячных расчетных показателей;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из числа участников ликвидации последствий катастрофы на Чернобыльской АЭС в 1988-1989 годах - 35 месячных расчетных показателей;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215 месячных расчетных показателей;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во время Великой Отечественной войны, не вступившим в повторный брак – 35 месячных расчетных показателей;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4.5 месячных расчетных показателей;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пострадавшие от политических репрессий – 4,5 месячных расчетных показателей.".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