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83a0" w14:textId="7868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Зыряновскому району на 2018-2019 годы</w:t>
      </w:r>
    </w:p>
    <w:p>
      <w:pPr>
        <w:spacing w:after="0"/>
        <w:ind w:left="0"/>
        <w:jc w:val="both"/>
      </w:pPr>
      <w:r>
        <w:rPr>
          <w:rFonts w:ascii="Times New Roman"/>
          <w:b w:val="false"/>
          <w:i w:val="false"/>
          <w:color w:val="000000"/>
          <w:sz w:val="28"/>
        </w:rPr>
        <w:t>Решение маслихата Зыряновского района Восточно-Казахстанской области от 23 мая 2018 года № 30/3-VI. Зарегистрировано Управлением юстиции Зыряновского района Департамента юстиции Восточно-Казахстанской области 8 июня 2018 года № 5-12-159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20 февраля 2017 года "О пастбищах"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Зыряновского района РЕШИЛ:</w:t>
      </w:r>
    </w:p>
    <w:bookmarkEnd w:id="0"/>
    <w:bookmarkStart w:name="z2"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Зыряновскому району на 2018-2019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Пантелеев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br/>
            </w:r>
            <w:r>
              <w:rPr>
                <w:rFonts w:ascii="Times New Roman"/>
                <w:b w:val="false"/>
                <w:i/>
                <w:color w:val="000000"/>
                <w:sz w:val="20"/>
              </w:rPr>
              <w:t xml:space="preserve">Зыряновского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маслихата </w:t>
            </w:r>
            <w:r>
              <w:br/>
            </w:r>
            <w:r>
              <w:rPr>
                <w:rFonts w:ascii="Times New Roman"/>
                <w:b w:val="false"/>
                <w:i w:val="false"/>
                <w:color w:val="000000"/>
                <w:sz w:val="20"/>
              </w:rPr>
              <w:t xml:space="preserve">Зыряновского района </w:t>
            </w:r>
            <w:r>
              <w:br/>
            </w:r>
            <w:r>
              <w:rPr>
                <w:rFonts w:ascii="Times New Roman"/>
                <w:b w:val="false"/>
                <w:i w:val="false"/>
                <w:color w:val="000000"/>
                <w:sz w:val="20"/>
              </w:rPr>
              <w:t>от 23 мая 2018 года № 30/3-VI</w:t>
            </w:r>
          </w:p>
        </w:tc>
      </w:tr>
    </w:tbl>
    <w:bookmarkStart w:name="z5" w:id="3"/>
    <w:p>
      <w:pPr>
        <w:spacing w:after="0"/>
        <w:ind w:left="0"/>
        <w:jc w:val="left"/>
      </w:pPr>
      <w:r>
        <w:rPr>
          <w:rFonts w:ascii="Times New Roman"/>
          <w:b/>
          <w:i w:val="false"/>
          <w:color w:val="000000"/>
        </w:rPr>
        <w:t xml:space="preserve"> План по управлению пастбищами и их использованию по Зыряновскому району на 2018-2019 годы</w:t>
      </w:r>
    </w:p>
    <w:bookmarkEnd w:id="3"/>
    <w:bookmarkStart w:name="z6" w:id="4"/>
    <w:p>
      <w:pPr>
        <w:spacing w:after="0"/>
        <w:ind w:left="0"/>
        <w:jc w:val="both"/>
      </w:pPr>
      <w:r>
        <w:rPr>
          <w:rFonts w:ascii="Times New Roman"/>
          <w:b w:val="false"/>
          <w:i w:val="false"/>
          <w:color w:val="000000"/>
          <w:sz w:val="28"/>
        </w:rPr>
        <w:t>
      Настоящий План по управлению пастбищами и их использованию по Зыряновскому району на 2018-2019 годы (далее - План) разработан в соответствии с Законом Республики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8" w:id="6"/>
    <w:p>
      <w:pPr>
        <w:spacing w:after="0"/>
        <w:ind w:left="0"/>
        <w:jc w:val="both"/>
      </w:pPr>
      <w:r>
        <w:rPr>
          <w:rFonts w:ascii="Times New Roman"/>
          <w:b w:val="false"/>
          <w:i w:val="false"/>
          <w:color w:val="000000"/>
          <w:sz w:val="28"/>
        </w:rPr>
        <w:t>
      План содержит:</w:t>
      </w:r>
    </w:p>
    <w:bookmarkEnd w:id="6"/>
    <w:bookmarkStart w:name="z9" w:id="7"/>
    <w:p>
      <w:pPr>
        <w:spacing w:after="0"/>
        <w:ind w:left="0"/>
        <w:jc w:val="both"/>
      </w:pPr>
      <w:r>
        <w:rPr>
          <w:rFonts w:ascii="Times New Roman"/>
          <w:b w:val="false"/>
          <w:i w:val="false"/>
          <w:color w:val="000000"/>
          <w:sz w:val="28"/>
        </w:rPr>
        <w:t xml:space="preserve">
      1) схему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правоудостоверяющих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bookmarkEnd w:id="7"/>
    <w:bookmarkStart w:name="z10" w:id="8"/>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8"/>
    <w:bookmarkStart w:name="z11" w:id="9"/>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9"/>
    <w:bookmarkStart w:name="z12" w:id="10"/>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0"/>
    <w:bookmarkStart w:name="z13" w:id="11"/>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1"/>
    <w:bookmarkStart w:name="z14" w:id="12"/>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юридических лиц, не обеспеченных пастбищами,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2"/>
    <w:bookmarkStart w:name="z15" w:id="13"/>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3"/>
    <w:bookmarkStart w:name="z16" w:id="14"/>
    <w:p>
      <w:pPr>
        <w:spacing w:after="0"/>
        <w:ind w:left="0"/>
        <w:jc w:val="both"/>
      </w:pPr>
      <w:r>
        <w:rPr>
          <w:rFonts w:ascii="Times New Roman"/>
          <w:b w:val="false"/>
          <w:i w:val="false"/>
          <w:color w:val="000000"/>
          <w:sz w:val="28"/>
        </w:rPr>
        <w:t>
      8) иные требования, необходимые для рационального использования пастбищ на соответствующей административно-территориальной единице.</w:t>
      </w:r>
    </w:p>
    <w:bookmarkEnd w:id="14"/>
    <w:bookmarkStart w:name="z17" w:id="15"/>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5"/>
    <w:bookmarkStart w:name="z18" w:id="16"/>
    <w:p>
      <w:pPr>
        <w:spacing w:after="0"/>
        <w:ind w:left="0"/>
        <w:jc w:val="both"/>
      </w:pPr>
      <w:r>
        <w:rPr>
          <w:rFonts w:ascii="Times New Roman"/>
          <w:b w:val="false"/>
          <w:i w:val="false"/>
          <w:color w:val="000000"/>
          <w:sz w:val="28"/>
        </w:rPr>
        <w:t>
      Зыряновский район расположен на северо-востоке Восточно-Казахстанской области, на севере и северо-западе граничит с территорией города областного значения Риддер, на северо-востоке и востоке - с Российской Федерацией (Республика Алтай), на юго-востоке - с Катон-Карагайским районом, юго-западе - с Уланским районом, на западе - с Глубоковским районом. Площадь территории района — 10,5 тыс. км2.</w:t>
      </w:r>
    </w:p>
    <w:bookmarkEnd w:id="16"/>
    <w:bookmarkStart w:name="z19" w:id="17"/>
    <w:p>
      <w:pPr>
        <w:spacing w:after="0"/>
        <w:ind w:left="0"/>
        <w:jc w:val="both"/>
      </w:pPr>
      <w:r>
        <w:rPr>
          <w:rFonts w:ascii="Times New Roman"/>
          <w:b w:val="false"/>
          <w:i w:val="false"/>
          <w:color w:val="000000"/>
          <w:sz w:val="28"/>
        </w:rPr>
        <w:t>
      Рельеф территории района низкогорный с межгорными долинами, основную часть занимают отроги хребтов Рудного и Южного Алтая. По территории района протекают реки Бухтарма, Тургусун, Хамир, на юго-западе в состав района входит часть Бухтарминского водохранилища.</w:t>
      </w:r>
    </w:p>
    <w:bookmarkEnd w:id="17"/>
    <w:bookmarkStart w:name="z20" w:id="18"/>
    <w:p>
      <w:pPr>
        <w:spacing w:after="0"/>
        <w:ind w:left="0"/>
        <w:jc w:val="both"/>
      </w:pPr>
      <w:r>
        <w:rPr>
          <w:rFonts w:ascii="Times New Roman"/>
          <w:b w:val="false"/>
          <w:i w:val="false"/>
          <w:color w:val="000000"/>
          <w:sz w:val="28"/>
        </w:rPr>
        <w:t>
      Почвы черноземные, горнолуговые. На территории края произрастают ковыль, типчак, осина, сосна, ель, лиственница, пихта. Обитают горный козел, лось, косуля, бурый медведь, рысь, белка, соболь; в водоемах – язь, сазан и другая рыба.</w:t>
      </w:r>
    </w:p>
    <w:bookmarkEnd w:id="18"/>
    <w:bookmarkStart w:name="z21" w:id="19"/>
    <w:p>
      <w:pPr>
        <w:spacing w:after="0"/>
        <w:ind w:left="0"/>
        <w:jc w:val="both"/>
      </w:pPr>
      <w:r>
        <w:rPr>
          <w:rFonts w:ascii="Times New Roman"/>
          <w:b w:val="false"/>
          <w:i w:val="false"/>
          <w:color w:val="000000"/>
          <w:sz w:val="28"/>
        </w:rPr>
        <w:t>
      Климат резко континентальный, среднегодовая температура 0,3°C, абсолютный максимум: 40°C, абсолютный минимум: -51°С, но в целом благоприятен для развития земледелия и животноводства.</w:t>
      </w:r>
    </w:p>
    <w:bookmarkEnd w:id="19"/>
    <w:bookmarkStart w:name="z22" w:id="20"/>
    <w:p>
      <w:pPr>
        <w:spacing w:after="0"/>
        <w:ind w:left="0"/>
        <w:jc w:val="both"/>
      </w:pPr>
      <w:r>
        <w:rPr>
          <w:rFonts w:ascii="Times New Roman"/>
          <w:b w:val="false"/>
          <w:i w:val="false"/>
          <w:color w:val="000000"/>
          <w:sz w:val="28"/>
        </w:rPr>
        <w:t>
      Растительный покров района отличается довольно большой пестротой, и отображает все разнообразие физико-географических условий, связанных с рельефом, почвами, климатом и геологией. По характеру растительного покрова, территория района входит в лугово-степной пояс. Состав травостоя зависит от положения на склоне, высоты и почв.</w:t>
      </w:r>
    </w:p>
    <w:bookmarkEnd w:id="20"/>
    <w:bookmarkStart w:name="z23" w:id="21"/>
    <w:p>
      <w:pPr>
        <w:spacing w:after="0"/>
        <w:ind w:left="0"/>
        <w:jc w:val="both"/>
      </w:pPr>
      <w:r>
        <w:rPr>
          <w:rFonts w:ascii="Times New Roman"/>
          <w:b w:val="false"/>
          <w:i w:val="false"/>
          <w:color w:val="000000"/>
          <w:sz w:val="28"/>
        </w:rPr>
        <w:t>
      На северных, восточных и отчасти западных склонах располагаются луговые сенокосы и пастбища на горных черноземах. Видовой состав травостоя разнообразен. В основном, преобладают луговые злаки: вейник наземный, костер безостый, пырей ползучий, тимофеевка луговая, разнотравье. Из разнотравья преобладает: скерда сибирская, володушка золотистая, тысячелистник простой, подмаренник северный и цепкий, чина луговая, лапчатка серебристая, клевер люпиновидный.</w:t>
      </w:r>
    </w:p>
    <w:bookmarkEnd w:id="21"/>
    <w:bookmarkStart w:name="z24" w:id="22"/>
    <w:p>
      <w:pPr>
        <w:spacing w:after="0"/>
        <w:ind w:left="0"/>
        <w:jc w:val="both"/>
      </w:pPr>
      <w:r>
        <w:rPr>
          <w:rFonts w:ascii="Times New Roman"/>
          <w:b w:val="false"/>
          <w:i w:val="false"/>
          <w:color w:val="000000"/>
          <w:sz w:val="28"/>
        </w:rPr>
        <w:t>
      Встречаются и непоедаемые растения: душица обыкновенная, зверобой пронзеннолистный, василистник простой, ломонос цельнолистный.</w:t>
      </w:r>
    </w:p>
    <w:bookmarkEnd w:id="22"/>
    <w:bookmarkStart w:name="z25" w:id="23"/>
    <w:p>
      <w:pPr>
        <w:spacing w:after="0"/>
        <w:ind w:left="0"/>
        <w:jc w:val="both"/>
      </w:pPr>
      <w:r>
        <w:rPr>
          <w:rFonts w:ascii="Times New Roman"/>
          <w:b w:val="false"/>
          <w:i w:val="false"/>
          <w:color w:val="000000"/>
          <w:sz w:val="28"/>
        </w:rPr>
        <w:t>
      Имеются и ядовитые растения: живокость высокая, борец высокий, чемерица Лобелля, купена неопалимая. Густота травостоя обычно высокая 80-100%. По узким лощинам и более сухим выпуклым частям склонов распространены шиповниковые пастбища, жимолость и горький миндаль. Довольно часто кустарники образует сплошные заросли. Наличие кустарников уменьшает урожайность пастбищ и колеблется в пределах 6-7 ц/га сухой массы. Урожайность лугов составляет 9-10 ц/га.</w:t>
      </w:r>
    </w:p>
    <w:bookmarkEnd w:id="23"/>
    <w:bookmarkStart w:name="z26" w:id="24"/>
    <w:p>
      <w:pPr>
        <w:spacing w:after="0"/>
        <w:ind w:left="0"/>
        <w:jc w:val="both"/>
      </w:pPr>
      <w:r>
        <w:rPr>
          <w:rFonts w:ascii="Times New Roman"/>
          <w:b w:val="false"/>
          <w:i w:val="false"/>
          <w:color w:val="000000"/>
          <w:sz w:val="28"/>
        </w:rPr>
        <w:t>
      По западным, южным, наиболее прогреваемым склонам и вершинам располагаются степи. Они представлены таволгово-злаково-разнотравными и ковыльно-злаково-разнотравными пастбищами. Основными представителями которых являются - таволга, ковыль волосатик (тырса), ковыль красноватый, тонконог стройный, шиповник. Из разнотравья - тысячелистник обыкновенный, подсолнечник настоящий, икотник серый, лапчатка. Из непоедаемых - вероника колосистая, лук-слизун, зизифора. Урожайность их составляет 8-9 ц/га сухой массы.</w:t>
      </w:r>
    </w:p>
    <w:bookmarkEnd w:id="24"/>
    <w:bookmarkStart w:name="z27" w:id="25"/>
    <w:p>
      <w:pPr>
        <w:spacing w:after="0"/>
        <w:ind w:left="0"/>
        <w:jc w:val="both"/>
      </w:pPr>
      <w:r>
        <w:rPr>
          <w:rFonts w:ascii="Times New Roman"/>
          <w:b w:val="false"/>
          <w:i w:val="false"/>
          <w:color w:val="000000"/>
          <w:sz w:val="28"/>
        </w:rPr>
        <w:t>
      По долинам рек и ручьев развиваются луга с густыми зарослями кустарников. Незакустаренные участки со злаково-разнотравным травостоем выкашивается. Из злаков преобладают луговые влаголюбивые виды: мятлик дуговой, полевица белая, костер безостый, вейник наземный; из разнотравья - герань луговая, кровохлебка лекарственная, лапчатка серебристая, лабазник шестилепестной,</w:t>
      </w:r>
    </w:p>
    <w:bookmarkEnd w:id="25"/>
    <w:bookmarkStart w:name="z28" w:id="26"/>
    <w:p>
      <w:pPr>
        <w:spacing w:after="0"/>
        <w:ind w:left="0"/>
        <w:jc w:val="both"/>
      </w:pPr>
      <w:r>
        <w:rPr>
          <w:rFonts w:ascii="Times New Roman"/>
          <w:b w:val="false"/>
          <w:i w:val="false"/>
          <w:color w:val="000000"/>
          <w:sz w:val="28"/>
        </w:rPr>
        <w:t>
      Из древесно-кустарниковой растительности вдоль рек и ручьев много ивы (тальника), шиповника, смородины, ежевики, черемухи, боярышника, калины. На пахотных землях доминирует осот, вьюнок полевой, щирица.</w:t>
      </w:r>
    </w:p>
    <w:bookmarkEnd w:id="26"/>
    <w:bookmarkStart w:name="z29" w:id="27"/>
    <w:p>
      <w:pPr>
        <w:spacing w:after="0"/>
        <w:ind w:left="0"/>
        <w:jc w:val="both"/>
      </w:pPr>
      <w:r>
        <w:rPr>
          <w:rFonts w:ascii="Times New Roman"/>
          <w:b w:val="false"/>
          <w:i w:val="false"/>
          <w:color w:val="000000"/>
          <w:sz w:val="28"/>
        </w:rPr>
        <w:t>
      Район является одним из основных производителей сельскохозяйственной продукции в области. Наличие сельскохозяйственных угодий, природные условия позволяют выращивать широкий спектр сельскохозяйственных культур, в основном зерновые и масличные.</w:t>
      </w:r>
    </w:p>
    <w:bookmarkEnd w:id="27"/>
    <w:bookmarkStart w:name="z30" w:id="28"/>
    <w:p>
      <w:pPr>
        <w:spacing w:after="0"/>
        <w:ind w:left="0"/>
        <w:jc w:val="both"/>
      </w:pPr>
      <w:r>
        <w:rPr>
          <w:rFonts w:ascii="Times New Roman"/>
          <w:b w:val="false"/>
          <w:i w:val="false"/>
          <w:color w:val="000000"/>
          <w:sz w:val="28"/>
        </w:rPr>
        <w:t>
      Животноводство в районе занимает особое место, необходимым условием успешного развития животноводства является создание прочной кормовой базы, в создании которой, важное значение имеет правильное использование пастбищ.</w:t>
      </w:r>
    </w:p>
    <w:bookmarkEnd w:id="28"/>
    <w:bookmarkStart w:name="z31" w:id="29"/>
    <w:p>
      <w:pPr>
        <w:spacing w:after="0"/>
        <w:ind w:left="0"/>
        <w:jc w:val="both"/>
      </w:pPr>
      <w:r>
        <w:rPr>
          <w:rFonts w:ascii="Times New Roman"/>
          <w:b w:val="false"/>
          <w:i w:val="false"/>
          <w:color w:val="000000"/>
          <w:sz w:val="28"/>
        </w:rPr>
        <w:t>
      Повышение продуктивности пастбищ можно достигнуть правильной организацией их территории, состоящей в размещении загонов, летних лагерей, водных сооружений и скотопрогонов.</w:t>
      </w:r>
    </w:p>
    <w:bookmarkEnd w:id="29"/>
    <w:bookmarkStart w:name="z32" w:id="30"/>
    <w:p>
      <w:pPr>
        <w:spacing w:after="0"/>
        <w:ind w:left="0"/>
        <w:jc w:val="both"/>
      </w:pPr>
      <w:r>
        <w:rPr>
          <w:rFonts w:ascii="Times New Roman"/>
          <w:b w:val="false"/>
          <w:i w:val="false"/>
          <w:color w:val="000000"/>
          <w:sz w:val="28"/>
        </w:rPr>
        <w:t>
      Площадь пастбищ по Зыряновскому району составляет 338777 га из них:</w:t>
      </w:r>
    </w:p>
    <w:bookmarkEnd w:id="30"/>
    <w:p>
      <w:pPr>
        <w:spacing w:after="0"/>
        <w:ind w:left="0"/>
        <w:jc w:val="both"/>
      </w:pPr>
      <w:r>
        <w:rPr>
          <w:rFonts w:ascii="Times New Roman"/>
          <w:b w:val="false"/>
          <w:i w:val="false"/>
          <w:color w:val="000000"/>
          <w:sz w:val="28"/>
        </w:rPr>
        <w:t>
      в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811"/>
        <w:gridCol w:w="3276"/>
        <w:gridCol w:w="2855"/>
        <w:gridCol w:w="2856"/>
      </w:tblGrid>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обводненные пастбища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120866</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52697</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и иного несельскохозяйственного назначения</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563114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1056096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338777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338777</w:t>
            </w:r>
          </w:p>
        </w:tc>
      </w:tr>
    </w:tbl>
    <w:bookmarkStart w:name="z33" w:id="31"/>
    <w:p>
      <w:pPr>
        <w:spacing w:after="0"/>
        <w:ind w:left="0"/>
        <w:jc w:val="left"/>
      </w:pPr>
      <w:r>
        <w:rPr>
          <w:rFonts w:ascii="Times New Roman"/>
          <w:b/>
          <w:i w:val="false"/>
          <w:color w:val="000000"/>
        </w:rPr>
        <w:t xml:space="preserve"> Устройство территории пастбищ</w:t>
      </w:r>
    </w:p>
    <w:bookmarkEnd w:id="31"/>
    <w:bookmarkStart w:name="z34" w:id="32"/>
    <w:p>
      <w:pPr>
        <w:spacing w:after="0"/>
        <w:ind w:left="0"/>
        <w:jc w:val="both"/>
      </w:pPr>
      <w:r>
        <w:rPr>
          <w:rFonts w:ascii="Times New Roman"/>
          <w:b w:val="false"/>
          <w:i w:val="false"/>
          <w:color w:val="000000"/>
          <w:sz w:val="28"/>
        </w:rPr>
        <w:t>
      В создании прочной кормовой базы для животноводства большое значение имеет правильное использование пастбищ, которые являются наиболее дешевым и ценным кормом.</w:t>
      </w:r>
    </w:p>
    <w:bookmarkEnd w:id="32"/>
    <w:bookmarkStart w:name="z35" w:id="33"/>
    <w:p>
      <w:pPr>
        <w:spacing w:after="0"/>
        <w:ind w:left="0"/>
        <w:jc w:val="both"/>
      </w:pPr>
      <w:r>
        <w:rPr>
          <w:rFonts w:ascii="Times New Roman"/>
          <w:b w:val="false"/>
          <w:i w:val="false"/>
          <w:color w:val="000000"/>
          <w:sz w:val="28"/>
        </w:rPr>
        <w:t>
      Основой рационального использования естественных пастбищ является пастбищеоборот. Это система использования пастбищ и ухода за ними, направленная на поддержание и увеличение их продуктивности путем последовательного чередования выпаса и отдыха в сочетании с проведением мероприятий по улучшению травостоя. Задача пастбищеоборота состоит в том, чтобы снизить отрицательное влияние выпаса скота на условия развития растений.</w:t>
      </w:r>
    </w:p>
    <w:bookmarkEnd w:id="33"/>
    <w:bookmarkStart w:name="z36" w:id="34"/>
    <w:p>
      <w:pPr>
        <w:spacing w:after="0"/>
        <w:ind w:left="0"/>
        <w:jc w:val="both"/>
      </w:pPr>
      <w:r>
        <w:rPr>
          <w:rFonts w:ascii="Times New Roman"/>
          <w:b w:val="false"/>
          <w:i w:val="false"/>
          <w:color w:val="000000"/>
          <w:sz w:val="28"/>
        </w:rPr>
        <w:t>
      Использование пастбищ в системе пастбищеоборота должно обеспечить:</w:t>
      </w:r>
    </w:p>
    <w:bookmarkEnd w:id="34"/>
    <w:bookmarkStart w:name="z37" w:id="35"/>
    <w:p>
      <w:pPr>
        <w:spacing w:after="0"/>
        <w:ind w:left="0"/>
        <w:jc w:val="both"/>
      </w:pPr>
      <w:r>
        <w:rPr>
          <w:rFonts w:ascii="Times New Roman"/>
          <w:b w:val="false"/>
          <w:i w:val="false"/>
          <w:color w:val="000000"/>
          <w:sz w:val="28"/>
        </w:rPr>
        <w:t>
      - удовлетворение каждой группы животных необходимым пастбищным кормом;</w:t>
      </w:r>
    </w:p>
    <w:bookmarkEnd w:id="35"/>
    <w:bookmarkStart w:name="z38" w:id="36"/>
    <w:p>
      <w:pPr>
        <w:spacing w:after="0"/>
        <w:ind w:left="0"/>
        <w:jc w:val="both"/>
      </w:pPr>
      <w:r>
        <w:rPr>
          <w:rFonts w:ascii="Times New Roman"/>
          <w:b w:val="false"/>
          <w:i w:val="false"/>
          <w:color w:val="000000"/>
          <w:sz w:val="28"/>
        </w:rPr>
        <w:t>
      - нормальную нагрузку пастбищ, предоставляя периодически отдых сбитым участкам и предупреждая, таким образом, ухудшение качества травостоя;</w:t>
      </w:r>
    </w:p>
    <w:bookmarkEnd w:id="36"/>
    <w:bookmarkStart w:name="z39" w:id="37"/>
    <w:p>
      <w:pPr>
        <w:spacing w:after="0"/>
        <w:ind w:left="0"/>
        <w:jc w:val="both"/>
      </w:pPr>
      <w:r>
        <w:rPr>
          <w:rFonts w:ascii="Times New Roman"/>
          <w:b w:val="false"/>
          <w:i w:val="false"/>
          <w:color w:val="000000"/>
          <w:sz w:val="28"/>
        </w:rPr>
        <w:t>
      - правильное размещение пастбищных участков, водоисточников, лагерей, сведя к минимуму холостые передвижения животных, вредно отражающиеся на качество и продуктивность животных;</w:t>
      </w:r>
    </w:p>
    <w:bookmarkEnd w:id="37"/>
    <w:bookmarkStart w:name="z40" w:id="38"/>
    <w:p>
      <w:pPr>
        <w:spacing w:after="0"/>
        <w:ind w:left="0"/>
        <w:jc w:val="both"/>
      </w:pPr>
      <w:r>
        <w:rPr>
          <w:rFonts w:ascii="Times New Roman"/>
          <w:b w:val="false"/>
          <w:i w:val="false"/>
          <w:color w:val="000000"/>
          <w:sz w:val="28"/>
        </w:rPr>
        <w:t>
      - соблюдение необходимых ветеринарно-профилактических требований, способствующих оздоровлению стада.</w:t>
      </w:r>
    </w:p>
    <w:bookmarkEnd w:id="38"/>
    <w:bookmarkStart w:name="z41" w:id="39"/>
    <w:p>
      <w:pPr>
        <w:spacing w:after="0"/>
        <w:ind w:left="0"/>
        <w:jc w:val="both"/>
      </w:pPr>
      <w:r>
        <w:rPr>
          <w:rFonts w:ascii="Times New Roman"/>
          <w:b w:val="false"/>
          <w:i w:val="false"/>
          <w:color w:val="000000"/>
          <w:sz w:val="28"/>
        </w:rPr>
        <w:t>
      Представление пастбищам отдыха в определенное время сезона, и полностью исключение из пастьбы - одно из важнейших мероприятий по их улучшению. В течение этого времени растения обсеменяются, дают всходы молодым побегам, улучшается ботанический состав растительного покрова. Пастбищный период для крупного рогатого скота длится 140 дней, средняя дата начала выпаса вторая декада мая, окончание лагерного содержания сентябрь месяц. Проектируемое поголовье скота предусматривается в этот период сформировать в гурты. При этом должна соблюдаться однородность животных в выпасных группах по полу и возрасту.</w:t>
      </w:r>
    </w:p>
    <w:bookmarkEnd w:id="39"/>
    <w:bookmarkStart w:name="z42" w:id="40"/>
    <w:p>
      <w:pPr>
        <w:spacing w:after="0"/>
        <w:ind w:left="0"/>
        <w:jc w:val="both"/>
      </w:pPr>
      <w:r>
        <w:rPr>
          <w:rFonts w:ascii="Times New Roman"/>
          <w:b w:val="false"/>
          <w:i w:val="false"/>
          <w:color w:val="000000"/>
          <w:sz w:val="28"/>
        </w:rPr>
        <w:t>
      В целях ликвидации обезличивания земель и создания благоприятных условий их использования, настоящим планом предусмотрено за каждой выпасной группой скота закрепить свой пастбищеоборот. Чтобы поднять продуктивность пастбищных угодий и предотвратить дальнейшую их деградацию, настоящим планом намечается использовать их в системе пятипольного пастбищеоборота с одним – двумя циклами стравливания и отдыха.</w:t>
      </w:r>
    </w:p>
    <w:bookmarkEnd w:id="40"/>
    <w:bookmarkStart w:name="z43" w:id="41"/>
    <w:p>
      <w:pPr>
        <w:spacing w:after="0"/>
        <w:ind w:left="0"/>
        <w:jc w:val="left"/>
      </w:pPr>
      <w:r>
        <w:rPr>
          <w:rFonts w:ascii="Times New Roman"/>
          <w:b/>
          <w:i w:val="false"/>
          <w:color w:val="000000"/>
        </w:rPr>
        <w:t xml:space="preserve"> Схема пятипольного пастбищеоборота для одного гурта (табуна)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1982"/>
        <w:gridCol w:w="1982"/>
        <w:gridCol w:w="1982"/>
        <w:gridCol w:w="1983"/>
        <w:gridCol w:w="1983"/>
      </w:tblGrid>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w:t>
            </w:r>
          </w:p>
        </w:tc>
      </w:tr>
    </w:tbl>
    <w:bookmarkStart w:name="z44" w:id="42"/>
    <w:p>
      <w:pPr>
        <w:spacing w:after="0"/>
        <w:ind w:left="0"/>
        <w:jc w:val="left"/>
      </w:pPr>
      <w:r>
        <w:rPr>
          <w:rFonts w:ascii="Times New Roman"/>
          <w:b/>
          <w:i w:val="false"/>
          <w:color w:val="000000"/>
        </w:rPr>
        <w:t xml:space="preserve"> Схема четырехпольного пастбищеоборота для одного гурта (табуна)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2284"/>
        <w:gridCol w:w="2284"/>
        <w:gridCol w:w="2285"/>
        <w:gridCol w:w="2285"/>
      </w:tblGrid>
      <w:tr>
        <w:trPr>
          <w:trHeight w:val="3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bl>
    <w:bookmarkStart w:name="z45" w:id="43"/>
    <w:p>
      <w:pPr>
        <w:spacing w:after="0"/>
        <w:ind w:left="0"/>
        <w:jc w:val="both"/>
      </w:pPr>
      <w:r>
        <w:rPr>
          <w:rFonts w:ascii="Times New Roman"/>
          <w:b w:val="false"/>
          <w:i w:val="false"/>
          <w:color w:val="000000"/>
          <w:sz w:val="28"/>
        </w:rPr>
        <w:t>
      (В-Л-О) весна-лето-осень</w:t>
      </w:r>
    </w:p>
    <w:bookmarkEnd w:id="43"/>
    <w:bookmarkStart w:name="z46" w:id="44"/>
    <w:p>
      <w:pPr>
        <w:spacing w:after="0"/>
        <w:ind w:left="0"/>
        <w:jc w:val="both"/>
      </w:pPr>
      <w:r>
        <w:rPr>
          <w:rFonts w:ascii="Times New Roman"/>
          <w:b w:val="false"/>
          <w:i w:val="false"/>
          <w:color w:val="000000"/>
          <w:sz w:val="28"/>
        </w:rPr>
        <w:t>
      Все естественные пастбища по сезонности использования являются весенне-летне-осенними.</w:t>
      </w:r>
    </w:p>
    <w:bookmarkEnd w:id="44"/>
    <w:bookmarkStart w:name="z47" w:id="45"/>
    <w:p>
      <w:pPr>
        <w:spacing w:after="0"/>
        <w:ind w:left="0"/>
        <w:jc w:val="both"/>
      </w:pPr>
      <w:r>
        <w:rPr>
          <w:rFonts w:ascii="Times New Roman"/>
          <w:b w:val="false"/>
          <w:i w:val="false"/>
          <w:color w:val="000000"/>
          <w:sz w:val="28"/>
        </w:rPr>
        <w:t>
      Кормовые угодья закрепляются за гуртами скота по следующим принципам: вблизи населенных пунктов выпасается личный скот жителей и молодняк крупного рогатого скота до 6 месяцев. Остальным группам скота выделяются более отдаленные участки пастбищ</w:t>
      </w:r>
    </w:p>
    <w:bookmarkEnd w:id="45"/>
    <w:bookmarkStart w:name="z48" w:id="46"/>
    <w:p>
      <w:pPr>
        <w:spacing w:after="0"/>
        <w:ind w:left="0"/>
        <w:jc w:val="left"/>
      </w:pPr>
      <w:r>
        <w:rPr>
          <w:rFonts w:ascii="Times New Roman"/>
          <w:b/>
          <w:i w:val="false"/>
          <w:color w:val="000000"/>
        </w:rPr>
        <w:t xml:space="preserve"> Сведения о состоянии геоботанического обследования пастбищ</w:t>
      </w:r>
    </w:p>
    <w:bookmarkEnd w:id="46"/>
    <w:bookmarkStart w:name="z49" w:id="47"/>
    <w:p>
      <w:pPr>
        <w:spacing w:after="0"/>
        <w:ind w:left="0"/>
        <w:jc w:val="both"/>
      </w:pPr>
      <w:r>
        <w:rPr>
          <w:rFonts w:ascii="Times New Roman"/>
          <w:b w:val="false"/>
          <w:i w:val="false"/>
          <w:color w:val="000000"/>
          <w:sz w:val="28"/>
        </w:rPr>
        <w:t>
      Ботанико-кормовое обследование территории района произведено в 1978 году комплексным изыскательским отделением института "Казгипрозем" Министерства сельского хозяйства Казахской ССР по заявке Восточно-Казахстанского областного управления сельского хозяйства.</w:t>
      </w:r>
    </w:p>
    <w:bookmarkEnd w:id="47"/>
    <w:bookmarkStart w:name="z50" w:id="48"/>
    <w:p>
      <w:pPr>
        <w:spacing w:after="0"/>
        <w:ind w:left="0"/>
        <w:jc w:val="both"/>
      </w:pPr>
      <w:r>
        <w:rPr>
          <w:rFonts w:ascii="Times New Roman"/>
          <w:b w:val="false"/>
          <w:i w:val="false"/>
          <w:color w:val="000000"/>
          <w:sz w:val="28"/>
        </w:rPr>
        <w:t>
      Целью ботанико-кормового обследования является количественный и качественный учет кормовых угодий для правильной организации и устройства территории пастбищ. При использовании пастбищ необходимо правильно распределять нагрузку на них и учитывать особенности биологии трав.</w:t>
      </w:r>
    </w:p>
    <w:bookmarkEnd w:id="48"/>
    <w:bookmarkStart w:name="z51" w:id="49"/>
    <w:p>
      <w:pPr>
        <w:spacing w:after="0"/>
        <w:ind w:left="0"/>
        <w:jc w:val="both"/>
      </w:pPr>
      <w:r>
        <w:rPr>
          <w:rFonts w:ascii="Times New Roman"/>
          <w:b w:val="false"/>
          <w:i w:val="false"/>
          <w:color w:val="000000"/>
          <w:sz w:val="28"/>
        </w:rPr>
        <w:t>
      Большая часть территории представлена пашней, сенокосами и пастбищами.</w:t>
      </w:r>
    </w:p>
    <w:bookmarkEnd w:id="49"/>
    <w:bookmarkStart w:name="z52" w:id="50"/>
    <w:p>
      <w:pPr>
        <w:spacing w:after="0"/>
        <w:ind w:left="0"/>
        <w:jc w:val="both"/>
      </w:pPr>
      <w:r>
        <w:rPr>
          <w:rFonts w:ascii="Times New Roman"/>
          <w:b w:val="false"/>
          <w:i w:val="false"/>
          <w:color w:val="000000"/>
          <w:sz w:val="28"/>
        </w:rPr>
        <w:t>
      Пастбища используются для выпаса скота весной, летом и осенью. Большое количество пастбищ района закустарено, что значительно уменьшают урожайность этих пастбищ. Пастбища используются с неодинаковой нагрузкой. Около сел, вблизи ферм, они перегружены. В результате интенсивного выпаса скота из года в год травостой стал изменяться в худшую сторону: появилось больше сорных трав, поредели злаки, больше стало полыни. Зато часть отдаленных пастбищ совсем не используется, или используется незначительно. Это обычно массивы гор, которые ограничены с разных сторон пашней, через которые не оставлены скотопрогоны, не оставлено мест для водопоя скота.</w:t>
      </w:r>
    </w:p>
    <w:bookmarkEnd w:id="50"/>
    <w:bookmarkStart w:name="z53" w:id="51"/>
    <w:p>
      <w:pPr>
        <w:spacing w:after="0"/>
        <w:ind w:left="0"/>
        <w:jc w:val="left"/>
      </w:pPr>
      <w:r>
        <w:rPr>
          <w:rFonts w:ascii="Times New Roman"/>
          <w:b/>
          <w:i w:val="false"/>
          <w:color w:val="000000"/>
        </w:rPr>
        <w:t xml:space="preserve"> Наличие водоисточников (озера, реки, пруды, копани, оросительные или обводнительные каналы, трубчатые или шахтные колодцы)</w:t>
      </w:r>
    </w:p>
    <w:bookmarkEnd w:id="51"/>
    <w:bookmarkStart w:name="z54" w:id="52"/>
    <w:p>
      <w:pPr>
        <w:spacing w:after="0"/>
        <w:ind w:left="0"/>
        <w:jc w:val="both"/>
      </w:pPr>
      <w:r>
        <w:rPr>
          <w:rFonts w:ascii="Times New Roman"/>
          <w:b w:val="false"/>
          <w:i w:val="false"/>
          <w:color w:val="000000"/>
          <w:sz w:val="28"/>
        </w:rPr>
        <w:t>
      По территории района протекают реки, большое количество ручьев и родников, водопой животных осуществляется непосредственно из водных источников, которые вполне удовлетворяют потребности скота в воде. Вода во всех источниках хорошего качества, пригодна для водопоя скота. Места водопоя должны быть оборудованы удобными подходами. Берега должны быть пологими, достаточной длины и ширины, позволяющими одновременно поить большую часть гурта.</w:t>
      </w:r>
    </w:p>
    <w:bookmarkEnd w:id="52"/>
    <w:bookmarkStart w:name="z55" w:id="53"/>
    <w:p>
      <w:pPr>
        <w:spacing w:after="0"/>
        <w:ind w:left="0"/>
        <w:jc w:val="both"/>
      </w:pPr>
      <w:r>
        <w:rPr>
          <w:rFonts w:ascii="Times New Roman"/>
          <w:b w:val="false"/>
          <w:i w:val="false"/>
          <w:color w:val="000000"/>
          <w:sz w:val="28"/>
        </w:rPr>
        <w:t>
      При расчетах учитывались предельно допустимый радиус водопоя скота: для овец и КРС 6 км, для коров 2,5 км, для лошадей 8 км. Кроме того учтено допустимое поголовье животных, обслуживаемое одним водопойным пунктом: 250 голов КРС или лошадей, 2000 голов овец.</w:t>
      </w:r>
    </w:p>
    <w:bookmarkEnd w:id="53"/>
    <w:bookmarkStart w:name="z56" w:id="54"/>
    <w:p>
      <w:pPr>
        <w:spacing w:after="0"/>
        <w:ind w:left="0"/>
        <w:jc w:val="left"/>
      </w:pPr>
      <w:r>
        <w:rPr>
          <w:rFonts w:ascii="Times New Roman"/>
          <w:b/>
          <w:i w:val="false"/>
          <w:color w:val="000000"/>
        </w:rPr>
        <w:t xml:space="preserve"> Информация по ветеринарно-санитарным объектам</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2906"/>
        <w:gridCol w:w="2393"/>
        <w:gridCol w:w="1873"/>
        <w:gridCol w:w="1873"/>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 (города)</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 для купки овец</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искуственного осеменения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Средигорненский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Соловьевский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Зубовск</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Малеевский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Парыгинский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Тургусунский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Чапаевский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Первороссийский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Ново-Бухтарминский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Зыряновск</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7" w:id="55"/>
    <w:p>
      <w:pPr>
        <w:spacing w:after="0"/>
        <w:ind w:left="0"/>
        <w:jc w:val="left"/>
      </w:pPr>
      <w:r>
        <w:rPr>
          <w:rFonts w:ascii="Times New Roman"/>
          <w:b/>
          <w:i w:val="false"/>
          <w:color w:val="000000"/>
        </w:rPr>
        <w:t xml:space="preserve"> Информация по поголовью скота района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2329"/>
        <w:gridCol w:w="2329"/>
        <w:gridCol w:w="1926"/>
        <w:gridCol w:w="1926"/>
        <w:gridCol w:w="2330"/>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 (города)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Средигорненский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Парыгинский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Тургусунский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Прибрежный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Зубовск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Ново-Бухтарминский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Зыряновск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Серебрянск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w:t>
            </w:r>
          </w:p>
        </w:tc>
      </w:tr>
    </w:tbl>
    <w:bookmarkStart w:name="z58" w:id="56"/>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и перевод предоставляемых пастбищ</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434"/>
        <w:gridCol w:w="602"/>
        <w:gridCol w:w="1271"/>
        <w:gridCol w:w="434"/>
        <w:gridCol w:w="1439"/>
        <w:gridCol w:w="267"/>
        <w:gridCol w:w="1439"/>
        <w:gridCol w:w="1272"/>
        <w:gridCol w:w="1105"/>
        <w:gridCol w:w="1105"/>
        <w:gridCol w:w="770"/>
        <w:gridCol w:w="770"/>
        <w:gridCol w:w="770"/>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населенных пунктов</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из земель запаса для выпаса скота</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сельхозпроизводителей</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 по хозяйствам и личным подсобным хозяйствам</w:t>
            </w:r>
          </w:p>
        </w:tc>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 одну единицу необходимых пастбищ, га</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 нормативу необходимых пастбищ, га</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требуемых дополнительных пастбищ,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государственного земельного фонда, га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арендных земель га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пастбища, га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 пастбища, га</w:t>
            </w:r>
          </w:p>
        </w:tc>
      </w:tr>
    </w:tbl>
    <w:p>
      <w:pPr>
        <w:spacing w:after="0"/>
        <w:ind w:left="0"/>
        <w:jc w:val="both"/>
      </w:pPr>
      <w:r>
        <w:rPr>
          <w:rFonts w:ascii="Times New Roman"/>
          <w:b w:val="false"/>
          <w:i w:val="false"/>
          <w:color w:val="000000"/>
          <w:sz w:val="28"/>
        </w:rPr>
        <w:t>
      Тургусунский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540"/>
        <w:gridCol w:w="1436"/>
        <w:gridCol w:w="118"/>
        <w:gridCol w:w="1436"/>
        <w:gridCol w:w="239"/>
        <w:gridCol w:w="1436"/>
        <w:gridCol w:w="988"/>
        <w:gridCol w:w="1887"/>
        <w:gridCol w:w="1437"/>
        <w:gridCol w:w="118"/>
        <w:gridCol w:w="118"/>
        <w:gridCol w:w="1439"/>
        <w:gridCol w:w="120"/>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Чапаевский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1475"/>
        <w:gridCol w:w="1169"/>
        <w:gridCol w:w="1784"/>
        <w:gridCol w:w="246"/>
        <w:gridCol w:w="1475"/>
        <w:gridCol w:w="1015"/>
        <w:gridCol w:w="1939"/>
        <w:gridCol w:w="861"/>
        <w:gridCol w:w="122"/>
        <w:gridCol w:w="122"/>
        <w:gridCol w:w="861"/>
        <w:gridCol w:w="123"/>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Никольский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1630"/>
        <w:gridCol w:w="1630"/>
        <w:gridCol w:w="1971"/>
        <w:gridCol w:w="272"/>
        <w:gridCol w:w="1631"/>
        <w:gridCol w:w="1122"/>
        <w:gridCol w:w="2143"/>
        <w:gridCol w:w="135"/>
        <w:gridCol w:w="135"/>
        <w:gridCol w:w="135"/>
        <w:gridCol w:w="135"/>
        <w:gridCol w:w="135"/>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3627,5</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7634,5</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Соловьевский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1701"/>
        <w:gridCol w:w="1348"/>
        <w:gridCol w:w="2056"/>
        <w:gridCol w:w="284"/>
        <w:gridCol w:w="1701"/>
        <w:gridCol w:w="1170"/>
        <w:gridCol w:w="2058"/>
        <w:gridCol w:w="140"/>
        <w:gridCol w:w="141"/>
        <w:gridCol w:w="141"/>
        <w:gridCol w:w="141"/>
        <w:gridCol w:w="141"/>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Средигорненский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472"/>
        <w:gridCol w:w="1256"/>
        <w:gridCol w:w="995"/>
        <w:gridCol w:w="1256"/>
        <w:gridCol w:w="209"/>
        <w:gridCol w:w="1256"/>
        <w:gridCol w:w="864"/>
        <w:gridCol w:w="1911"/>
        <w:gridCol w:w="1256"/>
        <w:gridCol w:w="103"/>
        <w:gridCol w:w="104"/>
        <w:gridCol w:w="1257"/>
        <w:gridCol w:w="105"/>
      </w:tblGrid>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Малеевский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1677"/>
        <w:gridCol w:w="1677"/>
        <w:gridCol w:w="1677"/>
        <w:gridCol w:w="280"/>
        <w:gridCol w:w="1677"/>
        <w:gridCol w:w="1154"/>
        <w:gridCol w:w="2204"/>
        <w:gridCol w:w="138"/>
        <w:gridCol w:w="139"/>
        <w:gridCol w:w="139"/>
        <w:gridCol w:w="139"/>
        <w:gridCol w:w="139"/>
      </w:tblGrid>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8568,5</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Парыгинский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596"/>
        <w:gridCol w:w="1587"/>
        <w:gridCol w:w="1257"/>
        <w:gridCol w:w="1587"/>
        <w:gridCol w:w="264"/>
        <w:gridCol w:w="1587"/>
        <w:gridCol w:w="1092"/>
        <w:gridCol w:w="2086"/>
        <w:gridCol w:w="131"/>
        <w:gridCol w:w="131"/>
        <w:gridCol w:w="131"/>
        <w:gridCol w:w="132"/>
        <w:gridCol w:w="132"/>
      </w:tblGrid>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3977,5</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Первороссийский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596"/>
        <w:gridCol w:w="1587"/>
        <w:gridCol w:w="1257"/>
        <w:gridCol w:w="1587"/>
        <w:gridCol w:w="264"/>
        <w:gridCol w:w="1587"/>
        <w:gridCol w:w="1092"/>
        <w:gridCol w:w="2086"/>
        <w:gridCol w:w="131"/>
        <w:gridCol w:w="131"/>
        <w:gridCol w:w="131"/>
        <w:gridCol w:w="132"/>
        <w:gridCol w:w="132"/>
      </w:tblGrid>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6159,5</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Ново - Бухтарминский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566"/>
        <w:gridCol w:w="1506"/>
        <w:gridCol w:w="1506"/>
        <w:gridCol w:w="1506"/>
        <w:gridCol w:w="251"/>
        <w:gridCol w:w="1506"/>
        <w:gridCol w:w="1036"/>
        <w:gridCol w:w="1979"/>
        <w:gridCol w:w="124"/>
        <w:gridCol w:w="125"/>
        <w:gridCol w:w="125"/>
        <w:gridCol w:w="125"/>
        <w:gridCol w:w="125"/>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Северный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588"/>
        <w:gridCol w:w="1566"/>
        <w:gridCol w:w="1566"/>
        <w:gridCol w:w="1894"/>
        <w:gridCol w:w="261"/>
        <w:gridCol w:w="1566"/>
        <w:gridCol w:w="1078"/>
        <w:gridCol w:w="1567"/>
        <w:gridCol w:w="129"/>
        <w:gridCol w:w="129"/>
        <w:gridCol w:w="130"/>
        <w:gridCol w:w="130"/>
        <w:gridCol w:w="130"/>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поселок Октябрьский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665"/>
        <w:gridCol w:w="1769"/>
        <w:gridCol w:w="146"/>
        <w:gridCol w:w="146"/>
        <w:gridCol w:w="541"/>
        <w:gridCol w:w="1770"/>
        <w:gridCol w:w="1218"/>
        <w:gridCol w:w="1770"/>
        <w:gridCol w:w="1033"/>
        <w:gridCol w:w="146"/>
        <w:gridCol w:w="146"/>
        <w:gridCol w:w="1034"/>
        <w:gridCol w:w="147"/>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поселок Прибрежный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757"/>
        <w:gridCol w:w="2015"/>
        <w:gridCol w:w="968"/>
        <w:gridCol w:w="166"/>
        <w:gridCol w:w="336"/>
        <w:gridCol w:w="1597"/>
        <w:gridCol w:w="1386"/>
        <w:gridCol w:w="2227"/>
        <w:gridCol w:w="166"/>
        <w:gridCol w:w="167"/>
        <w:gridCol w:w="167"/>
        <w:gridCol w:w="167"/>
        <w:gridCol w:w="167"/>
      </w:tblGrid>
      <w:tr>
        <w:trPr>
          <w:trHeight w:val="30" w:hRule="atLeast"/>
        </w:trPr>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поселок Зубовск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676"/>
        <w:gridCol w:w="1800"/>
        <w:gridCol w:w="1050"/>
        <w:gridCol w:w="148"/>
        <w:gridCol w:w="300"/>
        <w:gridCol w:w="1800"/>
        <w:gridCol w:w="1239"/>
        <w:gridCol w:w="2366"/>
        <w:gridCol w:w="149"/>
        <w:gridCol w:w="149"/>
        <w:gridCol w:w="149"/>
        <w:gridCol w:w="149"/>
        <w:gridCol w:w="149"/>
      </w:tblGrid>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город Зыряновск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90"/>
        <w:gridCol w:w="1244"/>
        <w:gridCol w:w="129"/>
        <w:gridCol w:w="1244"/>
        <w:gridCol w:w="262"/>
        <w:gridCol w:w="1569"/>
        <w:gridCol w:w="1080"/>
        <w:gridCol w:w="1570"/>
        <w:gridCol w:w="1244"/>
        <w:gridCol w:w="129"/>
        <w:gridCol w:w="129"/>
        <w:gridCol w:w="1246"/>
        <w:gridCol w:w="131"/>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город Серебрянск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463"/>
        <w:gridCol w:w="1232"/>
        <w:gridCol w:w="101"/>
        <w:gridCol w:w="1745"/>
        <w:gridCol w:w="205"/>
        <w:gridCol w:w="1490"/>
        <w:gridCol w:w="847"/>
        <w:gridCol w:w="1490"/>
        <w:gridCol w:w="1232"/>
        <w:gridCol w:w="463"/>
        <w:gridCol w:w="463"/>
        <w:gridCol w:w="1234"/>
        <w:gridCol w:w="103"/>
      </w:tblGrid>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хозяйству</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сельхозпроизводителям</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району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w:t>
            </w:r>
            <w:r>
              <w:br/>
            </w:r>
            <w:r>
              <w:rPr>
                <w:rFonts w:ascii="Times New Roman"/>
                <w:b w:val="false"/>
                <w:i w:val="false"/>
                <w:color w:val="000000"/>
                <w:sz w:val="20"/>
              </w:rPr>
              <w:t xml:space="preserve">по Зыряновскому району </w:t>
            </w:r>
            <w:r>
              <w:br/>
            </w:r>
            <w:r>
              <w:rPr>
                <w:rFonts w:ascii="Times New Roman"/>
                <w:b w:val="false"/>
                <w:i w:val="false"/>
                <w:color w:val="000000"/>
                <w:sz w:val="20"/>
              </w:rPr>
              <w:t>на 2018-2019 годы</w:t>
            </w:r>
          </w:p>
        </w:tc>
      </w:tr>
    </w:tbl>
    <w:bookmarkStart w:name="z60" w:id="57"/>
    <w:p>
      <w:pPr>
        <w:spacing w:after="0"/>
        <w:ind w:left="0"/>
        <w:jc w:val="left"/>
      </w:pPr>
      <w:r>
        <w:rPr>
          <w:rFonts w:ascii="Times New Roman"/>
          <w:b/>
          <w:i w:val="false"/>
          <w:color w:val="000000"/>
        </w:rPr>
        <w:t xml:space="preserve">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правоудостоверяющих документов</w:t>
      </w:r>
    </w:p>
    <w:bookmarkEnd w:id="57"/>
    <w:bookmarkStart w:name="z61"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w:t>
            </w:r>
            <w:r>
              <w:br/>
            </w:r>
            <w:r>
              <w:rPr>
                <w:rFonts w:ascii="Times New Roman"/>
                <w:b w:val="false"/>
                <w:i w:val="false"/>
                <w:color w:val="000000"/>
                <w:sz w:val="20"/>
              </w:rPr>
              <w:t xml:space="preserve">по Зыряновскому району </w:t>
            </w:r>
            <w:r>
              <w:br/>
            </w:r>
            <w:r>
              <w:rPr>
                <w:rFonts w:ascii="Times New Roman"/>
                <w:b w:val="false"/>
                <w:i w:val="false"/>
                <w:color w:val="000000"/>
                <w:sz w:val="20"/>
              </w:rPr>
              <w:t>на 2018-2019 годы</w:t>
            </w:r>
          </w:p>
        </w:tc>
      </w:tr>
    </w:tbl>
    <w:bookmarkStart w:name="z63" w:id="59"/>
    <w:p>
      <w:pPr>
        <w:spacing w:after="0"/>
        <w:ind w:left="0"/>
        <w:jc w:val="left"/>
      </w:pPr>
      <w:r>
        <w:rPr>
          <w:rFonts w:ascii="Times New Roman"/>
          <w:b/>
          <w:i w:val="false"/>
          <w:color w:val="000000"/>
        </w:rPr>
        <w:t xml:space="preserve"> Приемлемые схемы пастбищеоборотов</w:t>
      </w:r>
    </w:p>
    <w:bookmarkEnd w:id="59"/>
    <w:bookmarkStart w:name="z6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w:t>
            </w:r>
            <w:r>
              <w:br/>
            </w:r>
            <w:r>
              <w:rPr>
                <w:rFonts w:ascii="Times New Roman"/>
                <w:b w:val="false"/>
                <w:i w:val="false"/>
                <w:color w:val="000000"/>
                <w:sz w:val="20"/>
              </w:rPr>
              <w:t xml:space="preserve">по Зыряновскому району </w:t>
            </w:r>
            <w:r>
              <w:br/>
            </w:r>
            <w:r>
              <w:rPr>
                <w:rFonts w:ascii="Times New Roman"/>
                <w:b w:val="false"/>
                <w:i w:val="false"/>
                <w:color w:val="000000"/>
                <w:sz w:val="20"/>
              </w:rPr>
              <w:t>на 2018-2019 годы</w:t>
            </w:r>
          </w:p>
        </w:tc>
      </w:tr>
    </w:tbl>
    <w:bookmarkStart w:name="z66" w:id="6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61"/>
    <w:bookmarkStart w:name="z6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w:t>
            </w:r>
            <w:r>
              <w:br/>
            </w:r>
            <w:r>
              <w:rPr>
                <w:rFonts w:ascii="Times New Roman"/>
                <w:b w:val="false"/>
                <w:i w:val="false"/>
                <w:color w:val="000000"/>
                <w:sz w:val="20"/>
              </w:rPr>
              <w:t xml:space="preserve">по Зыряновскому району </w:t>
            </w:r>
            <w:r>
              <w:br/>
            </w:r>
            <w:r>
              <w:rPr>
                <w:rFonts w:ascii="Times New Roman"/>
                <w:b w:val="false"/>
                <w:i w:val="false"/>
                <w:color w:val="000000"/>
                <w:sz w:val="20"/>
              </w:rPr>
              <w:t>на 2018-2019 годы</w:t>
            </w:r>
          </w:p>
        </w:tc>
      </w:tr>
    </w:tbl>
    <w:bookmarkStart w:name="z70" w:id="64"/>
    <w:p>
      <w:pPr>
        <w:spacing w:after="0"/>
        <w:ind w:left="0"/>
        <w:jc w:val="left"/>
      </w:pPr>
      <w:r>
        <w:rPr>
          <w:rFonts w:ascii="Times New Roman"/>
          <w:b/>
          <w:i w:val="false"/>
          <w:color w:val="000000"/>
        </w:rPr>
        <w:t xml:space="preserve"> Схема доступа пастбищепользователей к водоисточникам (озерам, рекам)</w:t>
      </w:r>
    </w:p>
    <w:bookmarkEnd w:id="64"/>
    <w:bookmarkStart w:name="z7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w:t>
            </w:r>
            <w:r>
              <w:br/>
            </w:r>
            <w:r>
              <w:rPr>
                <w:rFonts w:ascii="Times New Roman"/>
                <w:b w:val="false"/>
                <w:i w:val="false"/>
                <w:color w:val="000000"/>
                <w:sz w:val="20"/>
              </w:rPr>
              <w:t xml:space="preserve">по Зыряновскому району </w:t>
            </w:r>
            <w:r>
              <w:br/>
            </w:r>
            <w:r>
              <w:rPr>
                <w:rFonts w:ascii="Times New Roman"/>
                <w:b w:val="false"/>
                <w:i w:val="false"/>
                <w:color w:val="000000"/>
                <w:sz w:val="20"/>
              </w:rPr>
              <w:t>на 2018-2019 годы</w:t>
            </w:r>
          </w:p>
        </w:tc>
      </w:tr>
    </w:tbl>
    <w:bookmarkStart w:name="z73" w:id="66"/>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перемещения его на предоставляемые пастбища</w:t>
      </w:r>
    </w:p>
    <w:bookmarkEnd w:id="66"/>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w:t>
            </w:r>
            <w:r>
              <w:br/>
            </w:r>
            <w:r>
              <w:rPr>
                <w:rFonts w:ascii="Times New Roman"/>
                <w:b w:val="false"/>
                <w:i w:val="false"/>
                <w:color w:val="000000"/>
                <w:sz w:val="20"/>
              </w:rPr>
              <w:t xml:space="preserve">по Зыряновскому району </w:t>
            </w:r>
            <w:r>
              <w:br/>
            </w:r>
            <w:r>
              <w:rPr>
                <w:rFonts w:ascii="Times New Roman"/>
                <w:b w:val="false"/>
                <w:i w:val="false"/>
                <w:color w:val="000000"/>
                <w:sz w:val="20"/>
              </w:rPr>
              <w:t>на 2018-2019 годы</w:t>
            </w:r>
          </w:p>
        </w:tc>
      </w:tr>
    </w:tbl>
    <w:bookmarkStart w:name="z76" w:id="68"/>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юридических лиц, не обеспеченных пастбищами</w:t>
      </w:r>
    </w:p>
    <w:bookmarkEnd w:id="68"/>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w:t>
            </w:r>
            <w:r>
              <w:br/>
            </w:r>
            <w:r>
              <w:rPr>
                <w:rFonts w:ascii="Times New Roman"/>
                <w:b w:val="false"/>
                <w:i w:val="false"/>
                <w:color w:val="000000"/>
                <w:sz w:val="20"/>
              </w:rPr>
              <w:t xml:space="preserve">по управлению пастбищами </w:t>
            </w:r>
            <w:r>
              <w:br/>
            </w:r>
            <w:r>
              <w:rPr>
                <w:rFonts w:ascii="Times New Roman"/>
                <w:b w:val="false"/>
                <w:i w:val="false"/>
                <w:color w:val="000000"/>
                <w:sz w:val="20"/>
              </w:rPr>
              <w:t xml:space="preserve">и их использованию </w:t>
            </w:r>
            <w:r>
              <w:br/>
            </w:r>
            <w:r>
              <w:rPr>
                <w:rFonts w:ascii="Times New Roman"/>
                <w:b w:val="false"/>
                <w:i w:val="false"/>
                <w:color w:val="000000"/>
                <w:sz w:val="20"/>
              </w:rPr>
              <w:t xml:space="preserve">по Зыряновскому району </w:t>
            </w:r>
            <w:r>
              <w:br/>
            </w:r>
            <w:r>
              <w:rPr>
                <w:rFonts w:ascii="Times New Roman"/>
                <w:b w:val="false"/>
                <w:i w:val="false"/>
                <w:color w:val="000000"/>
                <w:sz w:val="20"/>
              </w:rPr>
              <w:t>на 2018-2019 годы</w:t>
            </w:r>
          </w:p>
        </w:tc>
      </w:tr>
    </w:tbl>
    <w:bookmarkStart w:name="z79" w:id="70"/>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5139"/>
        <w:gridCol w:w="5139"/>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скота на отгонные пастбища</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Средигорненский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Соловьевский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Малеевский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Парыгинский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Тургусунский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Чапаевский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Первороссийский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