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b118" w14:textId="eadb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по Курчумскому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31 июля 2018 года № 24/8-VI. Зарегистрировано Управлением юстиции Курчумского района Департамента юстиции Восточно-Казахстанской области 22 августа 2018 года № 5-14-174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номером 15630), Курчумский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 Курчумскому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для городов районного значения, сел, поселков, сельских округов с численностью населения более двух тысяч человек с 1 января 2018 года и для городов районного значения, сел, поселков, сельских округов с численностью населения две тысячи и менее человек с 1 января 2020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по Курчумскому району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разработан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номером 15630) и определяет порядок образования и деятельности собрания местного сообщества по Курчумскому району.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 (города областного значения).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(города областного значения) кандидатур на должность акима сельского округа для дальнейшего внесения в маслихат района (города областного значения) для проведения выборов акима сельского округа;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 (города областного значения), представители аппарата акима района (города областного значения),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 (города областного значения).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1"/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(города областного значения) или вышестоящим руководителям должностных лиц ответственных за исполнение решений собрания.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(города областного значения)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