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240e" w14:textId="f852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в Урджарском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19 июня 2018 года № 28-287/VI. Зарегистрировано Управлением юстиции Урджарского района Департамента юстиции Восточно-Казахстанской области 2 июля 2018 года № 5-18-159. Утратило силу решением Урджарского районного маслихата Восточно-Казахстанской области от 24 июня 2020 года № 53-655/VI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53-655/VI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№ 120-VI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Урджарского района, в месяц: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игровой автомат без выигрыша, предназначенный для проведения игры с одним игроком – 4 месячных расчетных показателя;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игровой автомат без выигрыша, предназначенный для проведения игры с участием более одного игрока – 6 месячных расчетных показателя;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персональный компьютер, используемый для проведения игры – 2 месячных расчетных показателя;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игровая дорожка – 22 месячных расчетных показателя;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 – 8 месячных расчетных показателя;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бильярдный стол - 7 месячных расчетных показателя;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обменный пункт уполномоченной организации, расположенный в населенном пункте, за исключением специальной зоны - 10 месячных расчетных показателя.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решении на государственном языке внесен пункт 2, в русском языке пункт 2 не предусмотрен.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