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40e" w14:textId="f85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в Урд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июня 2018 года № 28-287/VI. Зарегистрировано Управлением юстиции Урджарского района Департамента юстиции Восточно-Казахстанской области 2 июля 2018 года № 5-18-159. Утратило силу решением Урджарского районного маслихата Восточно-Казахстанской области от 24 июня 2020 года № 53-65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№ 120-VI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Урджарского района, в месяц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овой автомат без выигрыша, предназначенный для проведения игры с одним игроком – 4 месячных расчетных показател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овой автомат без выигрыша, предназначенный для проведения игры с участием более одного игрока – 6 месячных расчетных показател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ьный компьютер, используемый для проведения игры – 2 месячных расчетных показател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ровая дорожка – 22 месячных расчетных показ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– 8 месячных расчетных показател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ный стол - 7 месячных расчетных показател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ный пункт уполномоченной организации, расположенный в населенном пункте, за исключением специальной зоны - 10 месячных расчетных показател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шении на государственном языке внесен пункт 2, в русском языке пункт 2 не предусмотре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