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8613a" w14:textId="c4861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лесные пользования на участках государственного лесного фонда (за исключением ставок за древесину, отпускаемую на корню)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28 сентября 2018 года № 19-5. Зарегистрировано Департаментом юстиции Западно-Казахстанской области 19 октября 2018 года № 5356. Утратило силу решением Западно-Казахстанского областного маслихата от 7 декабря 2018 года № 21-9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Западно-Казахстанского областного маслихата от 07.12.2018 </w:t>
      </w:r>
      <w:r>
        <w:rPr>
          <w:rFonts w:ascii="Times New Roman"/>
          <w:b w:val="false"/>
          <w:i w:val="false"/>
          <w:color w:val="ff0000"/>
          <w:sz w:val="28"/>
        </w:rPr>
        <w:t>№ 21-9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Кодексом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налогах и других обязательных платежах в бюджет"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(Налоговый кодекс) от 25 декабря 2017 года, </w:t>
      </w:r>
      <w:r>
        <w:rPr>
          <w:rFonts w:ascii="Times New Roman"/>
          <w:b w:val="false"/>
          <w:i w:val="false"/>
          <w:color w:val="000000"/>
          <w:sz w:val="28"/>
        </w:rPr>
        <w:t>Лесным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 июля 2003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12 июня 2009 года №344 "Об утверждении Правил и Методических указаний для расчета ставок платы за лесные пользования в государственном лесном фонде и в особо охраняемых природных территориях"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платы за лесные пользования на участках государственного лесного фонда (за исключением ставок за древесину, отпускаемую на корню):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 побочные лесные пользования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заготовку второстепенных древесных ресурсов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 пользование участками государственного лесного фонда в культурно-оздоровительных, рекреационных, туристских и спортивных целях, для нужд охотничьего хозяйства, в научно-исследовательских целях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распространяется на государственных лесовладельцев и лиц, получивших право лесопользования в порядке, установленном Лесным кодексом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12 июня 2015 года №25-6 "Об утверждении ставок платы за лесные пользования на участках государственного лесного фонда (за исключением ставок за древесину, отпускаемую на корню)" (зарегистрированное в Реестре государственной регистрации нормативных правовых актов №3954, опубликованное 25 июля 2015 года в газете "Приуралье").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решения возложить на постоянную комиссию областного маслихата по аграрным вопросам, природопользованию и развитию сельских территорий.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Руководителю аппарата Западно-Казахстанского областного маслихата (А.Султанов)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Илимисов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сентября 2018 года № 19-5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</w:t>
      </w:r>
      <w:r>
        <w:br/>
      </w:r>
      <w:r>
        <w:rPr>
          <w:rFonts w:ascii="Times New Roman"/>
          <w:b/>
          <w:i w:val="false"/>
          <w:color w:val="000000"/>
        </w:rPr>
        <w:t>за побочные лесные пользования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2"/>
        <w:gridCol w:w="4858"/>
        <w:gridCol w:w="1031"/>
        <w:gridCol w:w="3799"/>
      </w:tblGrid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Ставки платы,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Сенокошение, в том числе по группам качественного состояния сенокосных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угодий: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хорошее (коэф. 1,2)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 (коэф. 0,9)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 (коэф. 0,7)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Пастьба скота, в том числе за пастьбу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одной головы 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по их группам: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голова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скот, лошадь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голова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крупного рогатого скота, ишак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голова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голова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голова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Огородничество, бахчеводство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иных сельскохозяйственных культур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  <w:r>
              <w:br/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 одного улья на территории государственного лесного фонда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и сбор лекарственных растений и технического сырья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солодковый корень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*ставки платы за использование участков государственного лесного фонда для огородничества, бахчеводства и выращивания иных сельскохозяйственных культур устанавливаются на уровне ставок земельного налога по качеству почв пропорционально баллам бонитета, определенных налоговым законодательством.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сентября 2018 года № 19-5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</w:t>
      </w:r>
      <w:r>
        <w:br/>
      </w:r>
      <w:r>
        <w:rPr>
          <w:rFonts w:ascii="Times New Roman"/>
          <w:b/>
          <w:i w:val="false"/>
          <w:color w:val="000000"/>
        </w:rPr>
        <w:t>на заготовку второстепенных древесных ресурсов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2"/>
        <w:gridCol w:w="1353"/>
        <w:gridCol w:w="976"/>
        <w:gridCol w:w="8619"/>
      </w:tblGrid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</w:t>
            </w:r>
            <w:r>
              <w:br/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  <w:r>
              <w:br/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ставки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Кора деревьев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кустарников</w:t>
            </w:r>
            <w:r>
              <w:br/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 от базовых ставок платы за 1 плотный кубометр дровяной древесины соответствующей породы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Ветви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и кустарников</w:t>
            </w:r>
            <w:r>
              <w:br/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от базовых ставок платы за 1 плотный кубометр дровяной древесины соответствующей породы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Пни деревьев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кустарников</w:t>
            </w:r>
            <w:r>
              <w:br/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15% от базовых ставок платы за 1 плотный кубометр дровяной древесины соответствующей породы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и кустарников</w:t>
            </w:r>
            <w:r>
              <w:br/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 от базовых ставок платы за 1 плотный кубометр дровяной древесины соответствующей породы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и кустарников</w:t>
            </w:r>
            <w:r>
              <w:br/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 от базовых ставок платы за 1 плотный кубометр дровяной древесины соответствующей породы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и кустарников</w:t>
            </w:r>
            <w:r>
              <w:br/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 </w:t>
            </w:r>
            <w:r>
              <w:br/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 от базовых ставок платы за 1 плотный кубометр дровяной древесины соответствующей породы</w:t>
            </w:r>
            <w:r>
              <w:br/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сентября 2018 года № 19-5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Ставка платы</w:t>
      </w:r>
      <w:r>
        <w:br/>
      </w:r>
      <w:r>
        <w:rPr>
          <w:rFonts w:ascii="Times New Roman"/>
          <w:b/>
          <w:i w:val="false"/>
          <w:color w:val="000000"/>
        </w:rPr>
        <w:t>за пользование участками государственного лесного фонда в культурно-оздоровительных, рекреационных, туристских и спортивных целях, для нужд охотничьего хозяйства, в научно-исследовательских целях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3901"/>
        <w:gridCol w:w="1606"/>
        <w:gridCol w:w="1126"/>
        <w:gridCol w:w="1889"/>
        <w:gridCol w:w="2746"/>
      </w:tblGrid>
      <w:tr>
        <w:trPr>
          <w:trHeight w:val="30" w:hRule="atLeast"/>
        </w:trPr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</w:t>
            </w:r>
            <w:r>
              <w:br/>
            </w:r>
          </w:p>
        </w:tc>
        <w:tc>
          <w:tcPr>
            <w:tcW w:w="3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 лесопользо-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 лесопользо-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 лесопользо-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(МРП)</w:t>
            </w:r>
            <w:r>
              <w:br/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 лесопользо-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пользование участками государственного лесного фонда в культурно-оздоровительных целях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человек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</w:t>
            </w:r>
            <w:r>
              <w:br/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  <w:r>
              <w:br/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  <w:r>
              <w:br/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пользование участками государственного лесного фонда в рекреационных, туристских и спортивных целях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человек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</w:t>
            </w:r>
            <w:r>
              <w:br/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  <w:r>
              <w:br/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  <w:r>
              <w:br/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пользование участками государственного лесного фонда для нужд охотничьего хозяйства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  <w:r>
              <w:br/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нулевая ставка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пользование участками государственного лесного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научно-исследовательских целях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человек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</w:t>
            </w:r>
            <w:r>
              <w:br/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  <w:r>
              <w:br/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  <w:r>
              <w:br/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МРП – месячный расчетный показатель;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коэф.– коэффициент.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