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3906" w14:textId="be93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категории автостоянок (паркингов), увеличений размеров базовых ставок налога на земли, выделенные под автостоянки (паркинги), определении близлежащего населенного пункта, базовые ставки на земли которого будут применяться при начислении налога по Бурлинскому району</w:t>
      </w:r>
    </w:p>
    <w:p>
      <w:pPr>
        <w:spacing w:after="0"/>
        <w:ind w:left="0"/>
        <w:jc w:val="both"/>
      </w:pPr>
      <w:r>
        <w:rPr>
          <w:rFonts w:ascii="Times New Roman"/>
          <w:b w:val="false"/>
          <w:i w:val="false"/>
          <w:color w:val="000000"/>
          <w:sz w:val="28"/>
        </w:rPr>
        <w:t>Решение Бурлинского районного маслихата Западно-Казахстанской области от 19 декабря 2018 года № 32-8. Зарегистрировано Департаментом юстиции Западно-Казахстанской области 21 декабря 2018 года № 5448</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Бурлинский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категории автостоянок (паркингов) и увеличить размеры базовых ставок налога на земли, выделенные под автостоянки (паркинги) в зависимости от категории автостоянок (паркингов) по Бурлинскому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Определить город Аксай близлежащим населенным пунктом, базовые ставки на земли которого будут применяться при исчислении налога на земли других категорий, выделенные под автостоянки (паркинги), автозаправочные станции.</w:t>
      </w:r>
    </w:p>
    <w:bookmarkEnd w:id="2"/>
    <w:bookmarkStart w:name="z6" w:id="3"/>
    <w:p>
      <w:pPr>
        <w:spacing w:after="0"/>
        <w:ind w:left="0"/>
        <w:jc w:val="both"/>
      </w:pPr>
      <w:r>
        <w:rPr>
          <w:rFonts w:ascii="Times New Roman"/>
          <w:b w:val="false"/>
          <w:i w:val="false"/>
          <w:color w:val="000000"/>
          <w:sz w:val="28"/>
        </w:rPr>
        <w:t>
      3. Руководителю аппарата районного маслихата (Б.Б.Мукашева)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Бурлинского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19 декабря 2018 года №32-8</w:t>
            </w:r>
          </w:p>
        </w:tc>
      </w:tr>
    </w:tbl>
    <w:bookmarkStart w:name="z11" w:id="5"/>
    <w:p>
      <w:pPr>
        <w:spacing w:after="0"/>
        <w:ind w:left="0"/>
        <w:jc w:val="left"/>
      </w:pPr>
      <w:r>
        <w:rPr>
          <w:rFonts w:ascii="Times New Roman"/>
          <w:b/>
          <w:i w:val="false"/>
          <w:color w:val="000000"/>
        </w:rPr>
        <w:t xml:space="preserve"> Категория автостоянок (паркингов), увеличения размеров базовых ставок на земли, выделенные под автостоянки (паркинги)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137"/>
        <w:gridCol w:w="862"/>
        <w:gridCol w:w="4673"/>
        <w:gridCol w:w="2241"/>
        <w:gridCol w:w="2241"/>
        <w:gridCol w:w="634"/>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автостоянок (паркингов)</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автостоянок (паркингов)</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ставки на земли, выделенные под автостоянки (паркинги) в городе районного значения, тенге (75 процентов от ставки, установленной для областного центра)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ставки на земли, выделенные под автостоянки (паркинги) в поселке, тенге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ставки на земли, выделенные под автостоянки (паркинги) в селе, тенге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базовых ставок налога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стоянки (паркинги) открытого типа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десять раз</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(паркинги) закрытого типа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десять раз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