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f3bb" w14:textId="94ff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января 2019 года № 19. Зарегистрировано в Министерстве юстиции Республики Казахстан 12 февраля 2019 года № 18284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постановления см. в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(зарегистрировано в Реестре государственной регистрации нормативных правовых актов под № 15886, опубликовано 25 октября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размера капитала банка на определенную дату,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"71. Нормативы ликвидности, независимо от расчетных значений коэффициентов ликвидности, определяемых на среднемесячной основе, считаются невыполненными при наличии у банка в течение отчетного периода просроченных обязательств перед кредиторами и вкладчиками.";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"77. Денежный отток рассчитывается как сумма денежных оттоков в течение календарного месяца, следующего за датой расчета коэффициента покрытия ликвидности, с применением коэффициентов оттока, установленных в </w:t>
      </w:r>
      <w:r>
        <w:rPr>
          <w:rFonts w:ascii="Times New Roman"/>
          <w:b w:val="false"/>
          <w:i w:val="false"/>
          <w:color w:val="000000"/>
          <w:sz w:val="28"/>
        </w:rPr>
        <w:t>Таблице</w:t>
      </w:r>
      <w:r>
        <w:rPr>
          <w:rFonts w:ascii="Times New Roman"/>
          <w:b w:val="false"/>
          <w:i w:val="false"/>
          <w:color w:val="000000"/>
          <w:sz w:val="28"/>
        </w:rPr>
        <w:t xml:space="preserve"> денежных оттоков и притоков банка согласно приложению 14 к Нормативам, по следующим обязательствам банка:</w:t>
      </w:r>
    </w:p>
    <w:bookmarkEnd w:id="4"/>
    <w:bookmarkStart w:name="z11" w:id="5"/>
    <w:p>
      <w:pPr>
        <w:spacing w:after="0"/>
        <w:ind w:left="0"/>
        <w:jc w:val="both"/>
      </w:pPr>
      <w:r>
        <w:rPr>
          <w:rFonts w:ascii="Times New Roman"/>
          <w:b w:val="false"/>
          <w:i w:val="false"/>
          <w:color w:val="000000"/>
          <w:sz w:val="28"/>
        </w:rPr>
        <w:t>
      денежные оттоки по обязательствам перед физическими лицами (по текущим счетам, вкладам до востребования, срочным и условным вкладам, по обязательствам, по которым не установлен срок погашения). В случае возможности досрочного изъятия срочных вкладов физических лиц, такие обязательства включаются в расчет коэффициента в полном объеме вне зависимости от срока их исполнения. Вклады, выступающие в качестве обеспечения по выданным банком займам, включаются в расчет в соответствии со сроком погашения соответствующего займа;</w:t>
      </w:r>
    </w:p>
    <w:bookmarkEnd w:id="5"/>
    <w:bookmarkStart w:name="z12" w:id="6"/>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 исключением иной кредиторской задолженности) перед юридическими лицами, субъектами малого предпринимательства, не обеспеченным активами банка, не имеющим определенного срока исполнения либо срок полного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 в том числе по инициативе юридических лиц, субъектов малого предпринимательства;</w:t>
      </w:r>
    </w:p>
    <w:bookmarkEnd w:id="6"/>
    <w:bookmarkStart w:name="z13" w:id="7"/>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заемным операциям, за исключением иной кредиторской задолженности) перед юридическими лицами, обеспеченным активами банка, срок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w:t>
      </w:r>
    </w:p>
    <w:bookmarkEnd w:id="7"/>
    <w:bookmarkStart w:name="z14" w:id="8"/>
    <w:p>
      <w:pPr>
        <w:spacing w:after="0"/>
        <w:ind w:left="0"/>
        <w:jc w:val="both"/>
      </w:pPr>
      <w:r>
        <w:rPr>
          <w:rFonts w:ascii="Times New Roman"/>
          <w:b w:val="false"/>
          <w:i w:val="false"/>
          <w:color w:val="000000"/>
          <w:sz w:val="28"/>
        </w:rPr>
        <w:t>
      дополнительные денежные оттоки по условным и возможным обязательствам, имеющим срок полного исполнения в течение календарного месяца, следующего за датой расчета коэффициента покрытия ликвидности, либо вне зависимости от срока их полного исполнения, в случае если исполнение обязательств предусматривается в течение календарного месяца, следующего за датой расчета коэффициента покрытия ликвидности.</w:t>
      </w:r>
    </w:p>
    <w:bookmarkEnd w:id="8"/>
    <w:bookmarkStart w:name="z15" w:id="9"/>
    <w:p>
      <w:pPr>
        <w:spacing w:after="0"/>
        <w:ind w:left="0"/>
        <w:jc w:val="both"/>
      </w:pPr>
      <w:r>
        <w:rPr>
          <w:rFonts w:ascii="Times New Roman"/>
          <w:b w:val="false"/>
          <w:i w:val="false"/>
          <w:color w:val="000000"/>
          <w:sz w:val="28"/>
        </w:rPr>
        <w:t xml:space="preserve">
      Стабильные депозиты включают гарантируемые депозиты физических лиц в размере, установленном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7 июля 2006 года "Об обязательном гарантировании депозитов, размещенных в банках второго уровня Республики Казахстан" (далее – Закон об обязательном гарантировании депозитов).</w:t>
      </w:r>
    </w:p>
    <w:bookmarkEnd w:id="9"/>
    <w:bookmarkStart w:name="z16" w:id="10"/>
    <w:p>
      <w:pPr>
        <w:spacing w:after="0"/>
        <w:ind w:left="0"/>
        <w:jc w:val="both"/>
      </w:pPr>
      <w:r>
        <w:rPr>
          <w:rFonts w:ascii="Times New Roman"/>
          <w:b w:val="false"/>
          <w:i w:val="false"/>
          <w:color w:val="000000"/>
          <w:sz w:val="28"/>
        </w:rPr>
        <w:t>
      Менее стабильные депозиты включают депозиты физических лиц, не являющиеся гарантируемыми, либо являющиеся гарантируемыми, в сумме превышения над размером, установленным статьей 18 Закона об обязательном гарантировании депозитов.</w:t>
      </w:r>
    </w:p>
    <w:bookmarkEnd w:id="10"/>
    <w:bookmarkStart w:name="z17" w:id="11"/>
    <w:p>
      <w:pPr>
        <w:spacing w:after="0"/>
        <w:ind w:left="0"/>
        <w:jc w:val="both"/>
      </w:pPr>
      <w:r>
        <w:rPr>
          <w:rFonts w:ascii="Times New Roman"/>
          <w:b w:val="false"/>
          <w:i w:val="false"/>
          <w:color w:val="000000"/>
          <w:sz w:val="28"/>
        </w:rPr>
        <w:t>
      При классификации депозитов физических лиц учитываются депозиты в разрезе на каждого клиента в отдельности по депозитам в национальной и иностранной валютах.</w:t>
      </w:r>
    </w:p>
    <w:bookmarkEnd w:id="11"/>
    <w:bookmarkStart w:name="z18" w:id="12"/>
    <w:p>
      <w:pPr>
        <w:spacing w:after="0"/>
        <w:ind w:left="0"/>
        <w:jc w:val="both"/>
      </w:pPr>
      <w:r>
        <w:rPr>
          <w:rFonts w:ascii="Times New Roman"/>
          <w:b w:val="false"/>
          <w:i w:val="false"/>
          <w:color w:val="000000"/>
          <w:sz w:val="28"/>
        </w:rPr>
        <w:t>
      Денежный отток по обязательствам перед юридическими лицами, субъектами малого предпринимательства, не обеспеченным активами банка, включает необеспеченные обязательства банка перед юридическими лицами, субъектами малого предпринимательства и вклады, связанные с клиринговой, кастодиальной деятельностью, деятельностью по управлению ликвидностью клиента.</w:t>
      </w:r>
    </w:p>
    <w:bookmarkEnd w:id="12"/>
    <w:bookmarkStart w:name="z19" w:id="13"/>
    <w:p>
      <w:pPr>
        <w:spacing w:after="0"/>
        <w:ind w:left="0"/>
        <w:jc w:val="both"/>
      </w:pPr>
      <w:r>
        <w:rPr>
          <w:rFonts w:ascii="Times New Roman"/>
          <w:b w:val="false"/>
          <w:i w:val="false"/>
          <w:color w:val="000000"/>
          <w:sz w:val="28"/>
        </w:rPr>
        <w:t>
      Вклады, связанные с клиринговой, кастодиальной деятельностью, деятельностью по управлению ликвидностью клиента, включаются в расчет денежного оттока, если договор вклада, связанный с клиринговой, кастодиальной деятельностью, деятельностью по управлению ликвидностью клиента, предусматривает условие предварительного уведомления о расторжении договора не менее чем за 30 (тридцать)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13"/>
    <w:bookmarkStart w:name="z20" w:id="14"/>
    <w:p>
      <w:pPr>
        <w:spacing w:after="0"/>
        <w:ind w:left="0"/>
        <w:jc w:val="both"/>
      </w:pPr>
      <w:r>
        <w:rPr>
          <w:rFonts w:ascii="Times New Roman"/>
          <w:b w:val="false"/>
          <w:i w:val="false"/>
          <w:color w:val="000000"/>
          <w:sz w:val="28"/>
        </w:rPr>
        <w:t xml:space="preserve">
      Обязательства по вкладам, связанным с клиринговой, кастодиальной деятельностью, деятельностью по управлению ликвидностью клиента, определяются в размере, равном минимальному остатку денег на банковском счете, достаточному для удовлетворения потребностей клиента. </w:t>
      </w:r>
    </w:p>
    <w:bookmarkEnd w:id="14"/>
    <w:bookmarkStart w:name="z21" w:id="15"/>
    <w:p>
      <w:pPr>
        <w:spacing w:after="0"/>
        <w:ind w:left="0"/>
        <w:jc w:val="both"/>
      </w:pPr>
      <w:r>
        <w:rPr>
          <w:rFonts w:ascii="Times New Roman"/>
          <w:b w:val="false"/>
          <w:i w:val="false"/>
          <w:color w:val="000000"/>
          <w:sz w:val="28"/>
        </w:rPr>
        <w:t>
      В качестве вкладов, связанных с клиринговой, кастодиальной деятельностью, деятельностью по управлению ликвидностью клиента, также признается часть средств на текущих счетах и (или) вкладах до востребования, которые одновременно соответствуют следующим условиям:</w:t>
      </w:r>
    </w:p>
    <w:bookmarkEnd w:id="15"/>
    <w:bookmarkStart w:name="z22" w:id="16"/>
    <w:p>
      <w:pPr>
        <w:spacing w:after="0"/>
        <w:ind w:left="0"/>
        <w:jc w:val="both"/>
      </w:pPr>
      <w:r>
        <w:rPr>
          <w:rFonts w:ascii="Times New Roman"/>
          <w:b w:val="false"/>
          <w:i w:val="false"/>
          <w:color w:val="000000"/>
          <w:sz w:val="28"/>
        </w:rPr>
        <w:t>
      счет открыт и используется клиентом для платежей и (или) переводов не менее или менее 24 (двадцати четырех) месяцев;</w:t>
      </w:r>
    </w:p>
    <w:bookmarkEnd w:id="16"/>
    <w:bookmarkStart w:name="z23" w:id="17"/>
    <w:p>
      <w:pPr>
        <w:spacing w:after="0"/>
        <w:ind w:left="0"/>
        <w:jc w:val="both"/>
      </w:pPr>
      <w:r>
        <w:rPr>
          <w:rFonts w:ascii="Times New Roman"/>
          <w:b w:val="false"/>
          <w:i w:val="false"/>
          <w:color w:val="000000"/>
          <w:sz w:val="28"/>
        </w:rPr>
        <w:t>
      ставка вознаграждения по привлеченным средствам не превышает:</w:t>
      </w:r>
    </w:p>
    <w:bookmarkEnd w:id="17"/>
    <w:bookmarkStart w:name="z24" w:id="18"/>
    <w:p>
      <w:pPr>
        <w:spacing w:after="0"/>
        <w:ind w:left="0"/>
        <w:jc w:val="both"/>
      </w:pPr>
      <w:r>
        <w:rPr>
          <w:rFonts w:ascii="Times New Roman"/>
          <w:b w:val="false"/>
          <w:i w:val="false"/>
          <w:color w:val="000000"/>
          <w:sz w:val="28"/>
        </w:rPr>
        <w:t>
      по текущим счетам – 0 (ноль) процента;</w:t>
      </w:r>
    </w:p>
    <w:bookmarkEnd w:id="18"/>
    <w:bookmarkStart w:name="z25" w:id="19"/>
    <w:p>
      <w:pPr>
        <w:spacing w:after="0"/>
        <w:ind w:left="0"/>
        <w:jc w:val="both"/>
      </w:pPr>
      <w:r>
        <w:rPr>
          <w:rFonts w:ascii="Times New Roman"/>
          <w:b w:val="false"/>
          <w:i w:val="false"/>
          <w:color w:val="000000"/>
          <w:sz w:val="28"/>
        </w:rPr>
        <w:t>
      по вкладам до востребования – 0,1 (ноль целых одну десятую) процента.</w:t>
      </w:r>
    </w:p>
    <w:bookmarkEnd w:id="19"/>
    <w:bookmarkStart w:name="z26" w:id="20"/>
    <w:p>
      <w:pPr>
        <w:spacing w:after="0"/>
        <w:ind w:left="0"/>
        <w:jc w:val="both"/>
      </w:pPr>
      <w:r>
        <w:rPr>
          <w:rFonts w:ascii="Times New Roman"/>
          <w:b w:val="false"/>
          <w:i w:val="false"/>
          <w:color w:val="000000"/>
          <w:sz w:val="28"/>
        </w:rPr>
        <w:t>
      Если счет открыт и используется для платежей и (или) переводов менее 24 (двадцати четырех) месяцев, то в целях признания в качестве вкладов, связанных с клиринговой, кастодиальной деятельностью, деятельностью по управлению ликвидностью клиента, необходимо дополнительно удовлетворять следующим условиям:</w:t>
      </w:r>
    </w:p>
    <w:bookmarkEnd w:id="20"/>
    <w:bookmarkStart w:name="z27" w:id="21"/>
    <w:p>
      <w:pPr>
        <w:spacing w:after="0"/>
        <w:ind w:left="0"/>
        <w:jc w:val="both"/>
      </w:pPr>
      <w:r>
        <w:rPr>
          <w:rFonts w:ascii="Times New Roman"/>
          <w:b w:val="false"/>
          <w:i w:val="false"/>
          <w:color w:val="000000"/>
          <w:sz w:val="28"/>
        </w:rPr>
        <w:t>
      используется как текущий счет или вклад до востребования;</w:t>
      </w:r>
    </w:p>
    <w:bookmarkEnd w:id="21"/>
    <w:bookmarkStart w:name="z28" w:id="22"/>
    <w:p>
      <w:pPr>
        <w:spacing w:after="0"/>
        <w:ind w:left="0"/>
        <w:jc w:val="both"/>
      </w:pPr>
      <w:r>
        <w:rPr>
          <w:rFonts w:ascii="Times New Roman"/>
          <w:b w:val="false"/>
          <w:i w:val="false"/>
          <w:color w:val="000000"/>
          <w:sz w:val="28"/>
        </w:rPr>
        <w:t>
      имеется обязательство перед банком по поддержанию оборотов и (или) минимального остатка денег на счете.</w:t>
      </w:r>
    </w:p>
    <w:bookmarkEnd w:id="22"/>
    <w:bookmarkStart w:name="z29" w:id="23"/>
    <w:p>
      <w:pPr>
        <w:spacing w:after="0"/>
        <w:ind w:left="0"/>
        <w:jc w:val="both"/>
      </w:pPr>
      <w:r>
        <w:rPr>
          <w:rFonts w:ascii="Times New Roman"/>
          <w:b w:val="false"/>
          <w:i w:val="false"/>
          <w:color w:val="000000"/>
          <w:sz w:val="28"/>
        </w:rPr>
        <w:t>
      В случае, когда счет открыт и используется для платежей и (или) переводов менее 24 (двадцати четырех) месяцев, размер вклада, связанного с клиринговой, кастодиальной деятельностью, деятельностью по управлению ликвидностью клиента, рассчитывается как средняя величина остатков на текущем счете или вкладе до востребования с даты возникновения обязательства.</w:t>
      </w:r>
    </w:p>
    <w:bookmarkEnd w:id="23"/>
    <w:bookmarkStart w:name="z30" w:id="24"/>
    <w:p>
      <w:pPr>
        <w:spacing w:after="0"/>
        <w:ind w:left="0"/>
        <w:jc w:val="both"/>
      </w:pPr>
      <w:r>
        <w:rPr>
          <w:rFonts w:ascii="Times New Roman"/>
          <w:b w:val="false"/>
          <w:i w:val="false"/>
          <w:color w:val="000000"/>
          <w:sz w:val="28"/>
        </w:rPr>
        <w:t>
      Банк разрабатывает методику определения минимального остатка денег на банковском счете, достаточного для удовлетворения потребностей клиента, которая основана на расчете средних величин остатков на счете.</w:t>
      </w:r>
    </w:p>
    <w:bookmarkEnd w:id="24"/>
    <w:bookmarkStart w:name="z31" w:id="25"/>
    <w:p>
      <w:pPr>
        <w:spacing w:after="0"/>
        <w:ind w:left="0"/>
        <w:jc w:val="both"/>
      </w:pPr>
      <w:r>
        <w:rPr>
          <w:rFonts w:ascii="Times New Roman"/>
          <w:b w:val="false"/>
          <w:i w:val="false"/>
          <w:color w:val="000000"/>
          <w:sz w:val="28"/>
        </w:rPr>
        <w:t>
      Денежный отток по обязательствам перед юридическими лицами, обеспеченным активами банка, а также по договорам займа ценных бумаг включает в себя обязательства банка, обеспеченные высококачественными ликвидными активами первого и второго уровней, обязательства перед местными исполнительными органами Республики Казахстан и международными финансовыми организациями, взвешиваемые по степени кредитного риска не более 20 (двадцати) процентов в соответствии с Таблицей активов банка, взвешенных по степени кредитного риска вложений, согласно приложению 5 к Нормативам, и иные обязательства, обеспечение по которым не является высококачественным ликвидным активом первого или второго уровней.</w:t>
      </w:r>
    </w:p>
    <w:bookmarkEnd w:id="25"/>
    <w:bookmarkStart w:name="z32" w:id="26"/>
    <w:p>
      <w:pPr>
        <w:spacing w:after="0"/>
        <w:ind w:left="0"/>
        <w:jc w:val="both"/>
      </w:pPr>
      <w:r>
        <w:rPr>
          <w:rFonts w:ascii="Times New Roman"/>
          <w:b w:val="false"/>
          <w:i w:val="false"/>
          <w:color w:val="000000"/>
          <w:sz w:val="28"/>
        </w:rPr>
        <w:t xml:space="preserve">
      Дополнительный денежный отток по условным и возможным обязательствам включает сумму оттоков по условным обязательствам, сделкам с производными финансовыми инструментами и иным операциям, предусмотренным в </w:t>
      </w:r>
      <w:r>
        <w:rPr>
          <w:rFonts w:ascii="Times New Roman"/>
          <w:b w:val="false"/>
          <w:i w:val="false"/>
          <w:color w:val="000000"/>
          <w:sz w:val="28"/>
        </w:rPr>
        <w:t>Таблице</w:t>
      </w:r>
      <w:r>
        <w:rPr>
          <w:rFonts w:ascii="Times New Roman"/>
          <w:b w:val="false"/>
          <w:i w:val="false"/>
          <w:color w:val="000000"/>
          <w:sz w:val="28"/>
        </w:rPr>
        <w:t xml:space="preserve"> денежных оттоков и притоков банка согласно приложению 14 к Нормативам. Дополнительный денежный отток по условным обязательствам, сделкам с производными финансовыми инструментами и иным операциям включает:</w:t>
      </w:r>
    </w:p>
    <w:bookmarkEnd w:id="26"/>
    <w:bookmarkStart w:name="z33" w:id="27"/>
    <w:p>
      <w:pPr>
        <w:spacing w:after="0"/>
        <w:ind w:left="0"/>
        <w:jc w:val="both"/>
      </w:pPr>
      <w:r>
        <w:rPr>
          <w:rFonts w:ascii="Times New Roman"/>
          <w:b w:val="false"/>
          <w:i w:val="false"/>
          <w:color w:val="000000"/>
          <w:sz w:val="28"/>
        </w:rPr>
        <w:t>
      дополнительную потребность в ликвидности по условным обязательствам, сделкам с производными финансовыми инструментами и иным операциям в полном размере, в случае если снижение долгосрочного или краткосрочного кредитного рейтинга банка на 1 (одну), 2 (две) либо 3 (три) ступени от текущего рейтинга банка в соответствии с условиями договора приведет к дополнительной потребности в привлечении ликвидности для предоставления дополнительного обеспечения, денежной выплаты, досрочного выполнения обязательств по договору;</w:t>
      </w:r>
    </w:p>
    <w:bookmarkEnd w:id="27"/>
    <w:bookmarkStart w:name="z34" w:id="28"/>
    <w:p>
      <w:pPr>
        <w:spacing w:after="0"/>
        <w:ind w:left="0"/>
        <w:jc w:val="both"/>
      </w:pPr>
      <w:r>
        <w:rPr>
          <w:rFonts w:ascii="Times New Roman"/>
          <w:b w:val="false"/>
          <w:i w:val="false"/>
          <w:color w:val="000000"/>
          <w:sz w:val="28"/>
        </w:rPr>
        <w:t>
      дополнительную потребность в ликвидности, связанную с изменением рыночной оценки позиций по производным финансовым инструментам или иным операциям, предполагающую перечисление денег при изменении рыночной стоимости. В расчете оттока учитывается наибольший 30 (тридцатидневный) нетто отток за предыдущие 24 (двадцать четыре) месяца, равный оттоку за вычетом притока за указанный период;</w:t>
      </w:r>
    </w:p>
    <w:bookmarkEnd w:id="28"/>
    <w:bookmarkStart w:name="z35" w:id="29"/>
    <w:p>
      <w:pPr>
        <w:spacing w:after="0"/>
        <w:ind w:left="0"/>
        <w:jc w:val="both"/>
      </w:pPr>
      <w:r>
        <w:rPr>
          <w:rFonts w:ascii="Times New Roman"/>
          <w:b w:val="false"/>
          <w:i w:val="false"/>
          <w:color w:val="000000"/>
          <w:sz w:val="28"/>
        </w:rPr>
        <w:t xml:space="preserve">
      дополнительную потребность в ликвидности, связанную с изменением оценки (потенциальной стоимости) предоставленного банком обеспечения либо обеспечения, подлежащего предоставлению по сделкам с производными финансовыми инструментами и иным операциям, в размере 20 (двадцати) процентов от стоимости актива, не являющего высококачественным ликвидным активом первого уровня, рассчитанной с применением коэффициента учета, установленного в </w:t>
      </w:r>
      <w:r>
        <w:rPr>
          <w:rFonts w:ascii="Times New Roman"/>
          <w:b w:val="false"/>
          <w:i w:val="false"/>
          <w:color w:val="000000"/>
          <w:sz w:val="28"/>
        </w:rPr>
        <w:t>Таблице</w:t>
      </w:r>
      <w:r>
        <w:rPr>
          <w:rFonts w:ascii="Times New Roman"/>
          <w:b w:val="false"/>
          <w:i w:val="false"/>
          <w:color w:val="000000"/>
          <w:sz w:val="28"/>
        </w:rPr>
        <w:t xml:space="preserve"> высококачественных ликвидных активов банка согласно приложению 13 к Нормативам, и вычетом полученного обеспечения. Если обеспечением является высококачественный ликвидный актив первого уровня, дополнительная потребность в ликвидности не требуется;</w:t>
      </w:r>
    </w:p>
    <w:bookmarkEnd w:id="29"/>
    <w:bookmarkStart w:name="z36" w:id="30"/>
    <w:p>
      <w:pPr>
        <w:spacing w:after="0"/>
        <w:ind w:left="0"/>
        <w:jc w:val="both"/>
      </w:pPr>
      <w:r>
        <w:rPr>
          <w:rFonts w:ascii="Times New Roman"/>
          <w:b w:val="false"/>
          <w:i w:val="false"/>
          <w:color w:val="000000"/>
          <w:sz w:val="28"/>
        </w:rPr>
        <w:t>
      отток, связанный с правом клиента на требование незамедлительного возврата части предоставленного банку обеспечения по сделкам с производными финансовыми инструментами, обусловленным превышением объема предоставленного обеспечения над необходимым объемом, в полном объеме превышения;</w:t>
      </w:r>
    </w:p>
    <w:bookmarkEnd w:id="30"/>
    <w:bookmarkStart w:name="z37" w:id="31"/>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предоставление банком обеспечения, и право контрагента на требование обеспечения в соответствии с условиями договора, в случае если обеспечение не предоставлено;</w:t>
      </w:r>
    </w:p>
    <w:bookmarkEnd w:id="31"/>
    <w:bookmarkStart w:name="z38" w:id="32"/>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замену обеспечения на активы, не являющиеся высококачественными ликвидными активами, без согласования с банком;</w:t>
      </w:r>
    </w:p>
    <w:bookmarkEnd w:id="32"/>
    <w:bookmarkStart w:name="z39" w:id="33"/>
    <w:p>
      <w:pPr>
        <w:spacing w:after="0"/>
        <w:ind w:left="0"/>
        <w:jc w:val="both"/>
      </w:pPr>
      <w:r>
        <w:rPr>
          <w:rFonts w:ascii="Times New Roman"/>
          <w:b w:val="false"/>
          <w:i w:val="false"/>
          <w:color w:val="000000"/>
          <w:sz w:val="28"/>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bookmarkEnd w:id="33"/>
    <w:bookmarkStart w:name="z40" w:id="34"/>
    <w:p>
      <w:pPr>
        <w:spacing w:after="0"/>
        <w:ind w:left="0"/>
        <w:jc w:val="both"/>
      </w:pPr>
      <w:r>
        <w:rPr>
          <w:rFonts w:ascii="Times New Roman"/>
          <w:b w:val="false"/>
          <w:i w:val="false"/>
          <w:color w:val="000000"/>
          <w:sz w:val="28"/>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bookmarkEnd w:id="34"/>
    <w:bookmarkStart w:name="z41" w:id="35"/>
    <w:p>
      <w:pPr>
        <w:spacing w:after="0"/>
        <w:ind w:left="0"/>
        <w:jc w:val="both"/>
      </w:pPr>
      <w:r>
        <w:rPr>
          <w:rFonts w:ascii="Times New Roman"/>
          <w:b w:val="false"/>
          <w:i w:val="false"/>
          <w:color w:val="000000"/>
          <w:sz w:val="28"/>
        </w:rPr>
        <w:t>
      Под дочерними специальными организациями банка понимаются дочерние специальные организации-нерезиденты Республики Казахстан, созданные в целях выпуска и размещения ценных бумаг под гарантию банка и специальные финансовые компании, созданные для сделок секьюритизации.</w:t>
      </w:r>
    </w:p>
    <w:bookmarkEnd w:id="35"/>
    <w:bookmarkStart w:name="z42" w:id="36"/>
    <w:p>
      <w:pPr>
        <w:spacing w:after="0"/>
        <w:ind w:left="0"/>
        <w:jc w:val="both"/>
      </w:pPr>
      <w:r>
        <w:rPr>
          <w:rFonts w:ascii="Times New Roman"/>
          <w:b w:val="false"/>
          <w:i w:val="false"/>
          <w:color w:val="000000"/>
          <w:sz w:val="28"/>
        </w:rPr>
        <w:t>
      В целях расчета дополнительного денежного оттока условные обязательства включают в себя неиспользованные кредитные линии и линии ликвидности при условии, что указанные обязательства являются безотзывными.</w:t>
      </w:r>
    </w:p>
    <w:bookmarkEnd w:id="36"/>
    <w:bookmarkStart w:name="z43" w:id="37"/>
    <w:p>
      <w:pPr>
        <w:spacing w:after="0"/>
        <w:ind w:left="0"/>
        <w:jc w:val="both"/>
      </w:pPr>
      <w:r>
        <w:rPr>
          <w:rFonts w:ascii="Times New Roman"/>
          <w:b w:val="false"/>
          <w:i w:val="false"/>
          <w:color w:val="000000"/>
          <w:sz w:val="28"/>
        </w:rPr>
        <w:t>
      Под линией ликвидности понимаются следующие обязательства банка:</w:t>
      </w:r>
    </w:p>
    <w:bookmarkEnd w:id="37"/>
    <w:bookmarkStart w:name="z44" w:id="38"/>
    <w:p>
      <w:pPr>
        <w:spacing w:after="0"/>
        <w:ind w:left="0"/>
        <w:jc w:val="both"/>
      </w:pPr>
      <w:r>
        <w:rPr>
          <w:rFonts w:ascii="Times New Roman"/>
          <w:b w:val="false"/>
          <w:i w:val="false"/>
          <w:color w:val="000000"/>
          <w:sz w:val="28"/>
        </w:rPr>
        <w:t>
      по предоставлению денег клиенту для погашения ранее выпущенных клиентом ценных бумаг;</w:t>
      </w:r>
    </w:p>
    <w:bookmarkEnd w:id="38"/>
    <w:bookmarkStart w:name="z45" w:id="39"/>
    <w:p>
      <w:pPr>
        <w:spacing w:after="0"/>
        <w:ind w:left="0"/>
        <w:jc w:val="both"/>
      </w:pPr>
      <w:r>
        <w:rPr>
          <w:rFonts w:ascii="Times New Roman"/>
          <w:b w:val="false"/>
          <w:i w:val="false"/>
          <w:color w:val="000000"/>
          <w:sz w:val="28"/>
        </w:rPr>
        <w:t>
      по выкупу ценных бумаг клиента в рамках обязательств по первичному размещению ценных бумаг и (или) операциям на вторичном рынке с ценными бумагами клиента.</w:t>
      </w:r>
    </w:p>
    <w:bookmarkEnd w:id="39"/>
    <w:bookmarkStart w:name="z46" w:id="40"/>
    <w:p>
      <w:pPr>
        <w:spacing w:after="0"/>
        <w:ind w:left="0"/>
        <w:jc w:val="both"/>
      </w:pPr>
      <w:r>
        <w:rPr>
          <w:rFonts w:ascii="Times New Roman"/>
          <w:b w:val="false"/>
          <w:i w:val="false"/>
          <w:color w:val="000000"/>
          <w:sz w:val="28"/>
        </w:rPr>
        <w:t>
      В целях расчета дополнительного оттока условные обязательства включаются в качестве линии ликвидности в размере, не превышающем размер обязательства клиента по выпущенным ценным бумагам, подлежащим к исполнению в течение календарного месяца, следующего за датой расчета коэффициента покрытия ликвидности. Оставшаяся часть неиспользованного условного обязательства, а также обязательства, предоставленные нефинансовым организациям на пополнение оборотных средств, включаются в расчет дополнительного оттока по условным обязательствам в качестве кредитной линии.</w:t>
      </w:r>
    </w:p>
    <w:bookmarkEnd w:id="40"/>
    <w:bookmarkStart w:name="z47" w:id="41"/>
    <w:p>
      <w:pPr>
        <w:spacing w:after="0"/>
        <w:ind w:left="0"/>
        <w:jc w:val="both"/>
      </w:pPr>
      <w:r>
        <w:rPr>
          <w:rFonts w:ascii="Times New Roman"/>
          <w:b w:val="false"/>
          <w:i w:val="false"/>
          <w:color w:val="000000"/>
          <w:sz w:val="28"/>
        </w:rPr>
        <w:t>
      Неиспользованные кредитные линии и линии ликвидности включаются в расчет дополнительного оттока с учетом вычета активов, предоставленных в обеспечение, либо подлежащих предоставлению в обеспечение, и удовлетворяющих каждому из следующих условий:</w:t>
      </w:r>
    </w:p>
    <w:bookmarkEnd w:id="41"/>
    <w:bookmarkStart w:name="z48" w:id="42"/>
    <w:p>
      <w:pPr>
        <w:spacing w:after="0"/>
        <w:ind w:left="0"/>
        <w:jc w:val="both"/>
      </w:pPr>
      <w:r>
        <w:rPr>
          <w:rFonts w:ascii="Times New Roman"/>
          <w:b w:val="false"/>
          <w:i w:val="false"/>
          <w:color w:val="000000"/>
          <w:sz w:val="28"/>
        </w:rPr>
        <w:t>
      являются высококачественными ликвидными активами первого или второго уровней;</w:t>
      </w:r>
    </w:p>
    <w:bookmarkEnd w:id="42"/>
    <w:bookmarkStart w:name="z49" w:id="43"/>
    <w:p>
      <w:pPr>
        <w:spacing w:after="0"/>
        <w:ind w:left="0"/>
        <w:jc w:val="both"/>
      </w:pPr>
      <w:r>
        <w:rPr>
          <w:rFonts w:ascii="Times New Roman"/>
          <w:b w:val="false"/>
          <w:i w:val="false"/>
          <w:color w:val="000000"/>
          <w:sz w:val="28"/>
        </w:rPr>
        <w:t>
      не включены в состав высококачественных ликвидных активов банка;</w:t>
      </w:r>
    </w:p>
    <w:bookmarkEnd w:id="43"/>
    <w:bookmarkStart w:name="z50" w:id="44"/>
    <w:p>
      <w:pPr>
        <w:spacing w:after="0"/>
        <w:ind w:left="0"/>
        <w:jc w:val="both"/>
      </w:pPr>
      <w:r>
        <w:rPr>
          <w:rFonts w:ascii="Times New Roman"/>
          <w:b w:val="false"/>
          <w:i w:val="false"/>
          <w:color w:val="000000"/>
          <w:sz w:val="28"/>
        </w:rPr>
        <w:t>
      доступны для проведения операций, совершаемых на возвратной основе;</w:t>
      </w:r>
    </w:p>
    <w:bookmarkEnd w:id="44"/>
    <w:bookmarkStart w:name="z51" w:id="45"/>
    <w:p>
      <w:pPr>
        <w:spacing w:after="0"/>
        <w:ind w:left="0"/>
        <w:jc w:val="both"/>
      </w:pPr>
      <w:r>
        <w:rPr>
          <w:rFonts w:ascii="Times New Roman"/>
          <w:b w:val="false"/>
          <w:i w:val="false"/>
          <w:color w:val="000000"/>
          <w:sz w:val="28"/>
        </w:rPr>
        <w:t>
      отсутствует право на предъявление требований о досрочном возврате.</w:t>
      </w:r>
    </w:p>
    <w:bookmarkEnd w:id="45"/>
    <w:bookmarkStart w:name="z52" w:id="46"/>
    <w:p>
      <w:pPr>
        <w:spacing w:after="0"/>
        <w:ind w:left="0"/>
        <w:jc w:val="both"/>
      </w:pPr>
      <w:r>
        <w:rPr>
          <w:rFonts w:ascii="Times New Roman"/>
          <w:b w:val="false"/>
          <w:i w:val="false"/>
          <w:color w:val="000000"/>
          <w:sz w:val="28"/>
        </w:rPr>
        <w:t xml:space="preserve">
      Если дополнительные денежные оттоки по обязательствам перед физическими лицами и нефинансовыми организациями, не учтенные в строках 20, 21, 22, 23, 24, 25 и 26 </w:t>
      </w:r>
      <w:r>
        <w:rPr>
          <w:rFonts w:ascii="Times New Roman"/>
          <w:b w:val="false"/>
          <w:i w:val="false"/>
          <w:color w:val="000000"/>
          <w:sz w:val="28"/>
        </w:rPr>
        <w:t>Таблицы</w:t>
      </w:r>
      <w:r>
        <w:rPr>
          <w:rFonts w:ascii="Times New Roman"/>
          <w:b w:val="false"/>
          <w:i w:val="false"/>
          <w:color w:val="000000"/>
          <w:sz w:val="28"/>
        </w:rPr>
        <w:t xml:space="preserve"> денежных оттоков и притоков банка согласно приложению 14 к Нормативам, в течение календарного месяца, следующего за датой расчета коэффициента покрытия ликвидности, превышают 50 (пятьдесят) процентов денежного притока от физических лиц и нефинансовых организаций в течение календарного месяца, следующего за датой расчета коэффициента покрытия ликвидности, сумма превышения учитывается в денежном оттоке с применением коэффициента оттока 100 (сто) процентов в соответствии со строкой 29 Таблицы денежных оттоков и притоков банка согласно приложению 14 к Нормативам.";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54" w:id="47"/>
    <w:p>
      <w:pPr>
        <w:spacing w:after="0"/>
        <w:ind w:left="0"/>
        <w:jc w:val="both"/>
      </w:pPr>
      <w:r>
        <w:rPr>
          <w:rFonts w:ascii="Times New Roman"/>
          <w:b w:val="false"/>
          <w:i w:val="false"/>
          <w:color w:val="000000"/>
          <w:sz w:val="28"/>
        </w:rPr>
        <w:t>
      "80. Коэффициент нетто стабильного фондирования рассчитывается как отношение доступного стабильного фондирования к требуемому стабильному фондированию.</w:t>
      </w:r>
    </w:p>
    <w:bookmarkEnd w:id="47"/>
    <w:bookmarkStart w:name="z55" w:id="48"/>
    <w:p>
      <w:pPr>
        <w:spacing w:after="0"/>
        <w:ind w:left="0"/>
        <w:jc w:val="both"/>
      </w:pPr>
      <w:r>
        <w:rPr>
          <w:rFonts w:ascii="Times New Roman"/>
          <w:b w:val="false"/>
          <w:i w:val="false"/>
          <w:color w:val="000000"/>
          <w:sz w:val="28"/>
        </w:rPr>
        <w:t xml:space="preserve">
      Размер доступного стабильного фондирования рассчитывается как сумма обязательств, согласно данным бухгалтерского баланса, и собственного капитала до вычета положительных разниц, указанных в </w:t>
      </w:r>
      <w:r>
        <w:rPr>
          <w:rFonts w:ascii="Times New Roman"/>
          <w:b w:val="false"/>
          <w:i w:val="false"/>
          <w:color w:val="000000"/>
          <w:sz w:val="28"/>
        </w:rPr>
        <w:t>пункте 7</w:t>
      </w:r>
      <w:r>
        <w:rPr>
          <w:rFonts w:ascii="Times New Roman"/>
          <w:b w:val="false"/>
          <w:i w:val="false"/>
          <w:color w:val="000000"/>
          <w:sz w:val="28"/>
        </w:rPr>
        <w:t xml:space="preserve"> Нормативов, и инвестиций, указанных в </w:t>
      </w:r>
      <w:r>
        <w:rPr>
          <w:rFonts w:ascii="Times New Roman"/>
          <w:b w:val="false"/>
          <w:i w:val="false"/>
          <w:color w:val="000000"/>
          <w:sz w:val="28"/>
        </w:rPr>
        <w:t>пункте 11</w:t>
      </w:r>
      <w:r>
        <w:rPr>
          <w:rFonts w:ascii="Times New Roman"/>
          <w:b w:val="false"/>
          <w:i w:val="false"/>
          <w:color w:val="000000"/>
          <w:sz w:val="28"/>
        </w:rPr>
        <w:t xml:space="preserve"> Нормативов, умноженных на коэффициенты доступного стабильного фондирования, установленные в </w:t>
      </w:r>
      <w:r>
        <w:rPr>
          <w:rFonts w:ascii="Times New Roman"/>
          <w:b w:val="false"/>
          <w:i w:val="false"/>
          <w:color w:val="000000"/>
          <w:sz w:val="28"/>
        </w:rPr>
        <w:t>Таблице</w:t>
      </w:r>
      <w:r>
        <w:rPr>
          <w:rFonts w:ascii="Times New Roman"/>
          <w:b w:val="false"/>
          <w:i w:val="false"/>
          <w:color w:val="000000"/>
          <w:sz w:val="28"/>
        </w:rPr>
        <w:t xml:space="preserve"> обязательств доступного стабильного фондирования в соответствии с приложением 15 к Нормативам. </w:t>
      </w:r>
    </w:p>
    <w:bookmarkEnd w:id="48"/>
    <w:bookmarkStart w:name="z56" w:id="49"/>
    <w:p>
      <w:pPr>
        <w:spacing w:after="0"/>
        <w:ind w:left="0"/>
        <w:jc w:val="both"/>
      </w:pPr>
      <w:r>
        <w:rPr>
          <w:rFonts w:ascii="Times New Roman"/>
          <w:b w:val="false"/>
          <w:i w:val="false"/>
          <w:color w:val="000000"/>
          <w:sz w:val="28"/>
        </w:rPr>
        <w:t xml:space="preserve">
      Депозиты физических лиц включаются в расчет доступного стабильного фондирования как стабильные и менее стабильные депозиты в соответствии с частями второй и третьей </w:t>
      </w:r>
      <w:r>
        <w:rPr>
          <w:rFonts w:ascii="Times New Roman"/>
          <w:b w:val="false"/>
          <w:i w:val="false"/>
          <w:color w:val="000000"/>
          <w:sz w:val="28"/>
        </w:rPr>
        <w:t>пункта 77</w:t>
      </w:r>
      <w:r>
        <w:rPr>
          <w:rFonts w:ascii="Times New Roman"/>
          <w:b w:val="false"/>
          <w:i w:val="false"/>
          <w:color w:val="000000"/>
          <w:sz w:val="28"/>
        </w:rPr>
        <w:t xml:space="preserve"> Нормативов.</w:t>
      </w:r>
    </w:p>
    <w:bookmarkEnd w:id="49"/>
    <w:bookmarkStart w:name="z57" w:id="50"/>
    <w:p>
      <w:pPr>
        <w:spacing w:after="0"/>
        <w:ind w:left="0"/>
        <w:jc w:val="both"/>
      </w:pPr>
      <w:r>
        <w:rPr>
          <w:rFonts w:ascii="Times New Roman"/>
          <w:b w:val="false"/>
          <w:i w:val="false"/>
          <w:color w:val="000000"/>
          <w:sz w:val="28"/>
        </w:rPr>
        <w:t xml:space="preserve">
      В качестве вкладов, связанных с клиринговой, кастодиальной деятельностью, деятельностью по управлению ликвидностью клиента, признаются текущие счета и вклады до востребования, которые соответствуют частям восьмой, девятой, десятой и одиннадцатой пункта 77 Нормативов. </w:t>
      </w:r>
    </w:p>
    <w:bookmarkEnd w:id="50"/>
    <w:bookmarkStart w:name="z58" w:id="51"/>
    <w:p>
      <w:pPr>
        <w:spacing w:after="0"/>
        <w:ind w:left="0"/>
        <w:jc w:val="both"/>
      </w:pPr>
      <w:r>
        <w:rPr>
          <w:rFonts w:ascii="Times New Roman"/>
          <w:b w:val="false"/>
          <w:i w:val="false"/>
          <w:color w:val="000000"/>
          <w:sz w:val="28"/>
        </w:rPr>
        <w:t xml:space="preserve">
      Размер требуемого стабильного фондирования рассчитывается в совокупности как активы, согласно данным бухгалтерского баланса, умноженные на коэффициенты требуемого стабильного фондирования, установленные в </w:t>
      </w:r>
      <w:r>
        <w:rPr>
          <w:rFonts w:ascii="Times New Roman"/>
          <w:b w:val="false"/>
          <w:i w:val="false"/>
          <w:color w:val="000000"/>
          <w:sz w:val="28"/>
        </w:rPr>
        <w:t>Таблице</w:t>
      </w:r>
      <w:r>
        <w:rPr>
          <w:rFonts w:ascii="Times New Roman"/>
          <w:b w:val="false"/>
          <w:i w:val="false"/>
          <w:color w:val="000000"/>
          <w:sz w:val="28"/>
        </w:rPr>
        <w:t xml:space="preserve"> активов требуемого стабильного фондирования согласно приложению 16 к Нормативам, и условные и возможные обязательства требуемого стабильного фондирования, умноженные на коэффициент требуемого стабильного фондирования, установленный в </w:t>
      </w:r>
      <w:r>
        <w:rPr>
          <w:rFonts w:ascii="Times New Roman"/>
          <w:b w:val="false"/>
          <w:i w:val="false"/>
          <w:color w:val="000000"/>
          <w:sz w:val="28"/>
        </w:rPr>
        <w:t>Таблице</w:t>
      </w:r>
      <w:r>
        <w:rPr>
          <w:rFonts w:ascii="Times New Roman"/>
          <w:b w:val="false"/>
          <w:i w:val="false"/>
          <w:color w:val="000000"/>
          <w:sz w:val="28"/>
        </w:rPr>
        <w:t xml:space="preserve"> условных и возможных обязательств требуемого стабильного фондирования согласно приложению 17 к Нормативам.";</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обязательств доступного стабильного фондирования согласно приложению 15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активов требуемого стабильного фондирования согласно приложению 16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условных и возможных обязательств требуемого стабильного фондирования согласно приложению 17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62" w:id="52"/>
    <w:p>
      <w:pPr>
        <w:spacing w:after="0"/>
        <w:ind w:left="0"/>
        <w:jc w:val="both"/>
      </w:pPr>
      <w:r>
        <w:rPr>
          <w:rFonts w:ascii="Times New Roman"/>
          <w:b w:val="false"/>
          <w:i w:val="false"/>
          <w:color w:val="000000"/>
          <w:sz w:val="28"/>
        </w:rPr>
        <w:t>
      2. Департаменту методологии финансового рынка (Салимбаев Д.Н.) в установленном законодательством Республики Казахстан порядке обеспечить:</w:t>
      </w:r>
    </w:p>
    <w:bookmarkEnd w:id="52"/>
    <w:bookmarkStart w:name="z63" w:id="5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53"/>
    <w:bookmarkStart w:name="z64" w:id="5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4"/>
    <w:bookmarkStart w:name="z65" w:id="5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5"/>
    <w:bookmarkStart w:name="z66" w:id="5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56"/>
    <w:bookmarkStart w:name="z67" w:id="57"/>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57"/>
    <w:bookmarkStart w:name="z68" w:id="5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58"/>
    <w:bookmarkStart w:name="z69" w:id="59"/>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за исключением строки 10 </w:t>
      </w:r>
      <w:r>
        <w:rPr>
          <w:rFonts w:ascii="Times New Roman"/>
          <w:b w:val="false"/>
          <w:i w:val="false"/>
          <w:color w:val="000000"/>
          <w:sz w:val="28"/>
        </w:rPr>
        <w:t>Приложения 1</w:t>
      </w:r>
      <w:r>
        <w:rPr>
          <w:rFonts w:ascii="Times New Roman"/>
          <w:b w:val="false"/>
          <w:i w:val="false"/>
          <w:color w:val="000000"/>
          <w:sz w:val="28"/>
        </w:rPr>
        <w:t xml:space="preserve"> к настоящему постановлению, которая вводится в действие с 1 января 2021 года.</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71" w:id="6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w:t>
      </w:r>
      <w:r>
        <w:br/>
      </w:r>
      <w:r>
        <w:rPr>
          <w:rFonts w:ascii="Times New Roman"/>
          <w:b w:val="false"/>
          <w:i w:val="false"/>
          <w:color w:val="000000"/>
          <w:sz w:val="28"/>
        </w:rPr>
        <w:t xml:space="preserve">"___" _____________ 2019 года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2019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размера капитала банка на</w:t>
            </w:r>
            <w:r>
              <w:br/>
            </w:r>
            <w:r>
              <w:rPr>
                <w:rFonts w:ascii="Times New Roman"/>
                <w:b w:val="false"/>
                <w:i w:val="false"/>
                <w:color w:val="000000"/>
                <w:sz w:val="20"/>
              </w:rPr>
              <w:t>определенную дату и Правил</w:t>
            </w:r>
            <w:r>
              <w:br/>
            </w:r>
            <w:r>
              <w:rPr>
                <w:rFonts w:ascii="Times New Roman"/>
                <w:b w:val="false"/>
                <w:i w:val="false"/>
                <w:color w:val="000000"/>
                <w:sz w:val="20"/>
              </w:rPr>
              <w:t>расчета и лимитов открытой</w:t>
            </w:r>
            <w:r>
              <w:br/>
            </w:r>
            <w:r>
              <w:rPr>
                <w:rFonts w:ascii="Times New Roman"/>
                <w:b w:val="false"/>
                <w:i w:val="false"/>
                <w:color w:val="000000"/>
                <w:sz w:val="20"/>
              </w:rPr>
              <w:t>валютной позиции</w:t>
            </w:r>
          </w:p>
        </w:tc>
      </w:tr>
    </w:tbl>
    <w:bookmarkStart w:name="z74" w:id="61"/>
    <w:p>
      <w:pPr>
        <w:spacing w:after="0"/>
        <w:ind w:left="0"/>
        <w:jc w:val="left"/>
      </w:pPr>
      <w:r>
        <w:rPr>
          <w:rFonts w:ascii="Times New Roman"/>
          <w:b/>
          <w:i w:val="false"/>
          <w:color w:val="000000"/>
        </w:rPr>
        <w:t xml:space="preserve"> Таблица обязательств доступного стабильного фондирования</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9187"/>
        <w:gridCol w:w="1795"/>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доступного стабильного фондирования, в процентах</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включается до вычетов, установленных пунктами 7 и 11 Нормативов (за исключением инструментов капитала второго уровня со сроком погашения менее 1 (одного) года)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 капитала и обязательства с оставшимся сроком погашения 1 (один) год и более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включая вклады юридических лиц, с оставшимся сроком погашения более 6 (шести) месяцев и менее 1 (одного) года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оставшимся сроком погашения менее 6 (шести) месяцев</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юридических лиц с возможностью безусловного досрочного изъятия</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2019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размера капитала банка на</w:t>
            </w:r>
            <w:r>
              <w:br/>
            </w:r>
            <w:r>
              <w:rPr>
                <w:rFonts w:ascii="Times New Roman"/>
                <w:b w:val="false"/>
                <w:i w:val="false"/>
                <w:color w:val="000000"/>
                <w:sz w:val="20"/>
              </w:rPr>
              <w:t>определенную дату и Правил</w:t>
            </w:r>
            <w:r>
              <w:br/>
            </w:r>
            <w:r>
              <w:rPr>
                <w:rFonts w:ascii="Times New Roman"/>
                <w:b w:val="false"/>
                <w:i w:val="false"/>
                <w:color w:val="000000"/>
                <w:sz w:val="20"/>
              </w:rPr>
              <w:t>расчета и лимитов открытой</w:t>
            </w:r>
            <w:r>
              <w:br/>
            </w:r>
            <w:r>
              <w:rPr>
                <w:rFonts w:ascii="Times New Roman"/>
                <w:b w:val="false"/>
                <w:i w:val="false"/>
                <w:color w:val="000000"/>
                <w:sz w:val="20"/>
              </w:rPr>
              <w:t>валютной позиции</w:t>
            </w:r>
          </w:p>
        </w:tc>
      </w:tr>
    </w:tbl>
    <w:bookmarkStart w:name="z77" w:id="62"/>
    <w:p>
      <w:pPr>
        <w:spacing w:after="0"/>
        <w:ind w:left="0"/>
        <w:jc w:val="left"/>
      </w:pPr>
      <w:r>
        <w:rPr>
          <w:rFonts w:ascii="Times New Roman"/>
          <w:b/>
          <w:i w:val="false"/>
          <w:color w:val="000000"/>
        </w:rPr>
        <w:t xml:space="preserve"> Таблица активов требуемого стабильного фондирования</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0071"/>
        <w:gridCol w:w="1285"/>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финансовых инструментов, иностранной валюты в день продажи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первого уровня, за исключением денежных средств и резервов в Национальном Банке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менее 1 (одного) года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акционерному обществу "Фонд национального благосостояния "Самрук-Қазына" и акционерному обществу "Национальный управляющий холдинг "Байтерек", займы, гарантированные Правительством Республики Казахстан, с оставшимся сроком до погашения 1 (один) год и более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со оставшимся сроком погашения более 6 (шести) месяцев и менее 1 (одного) года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банках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займы, займы субъектам малого предпринимательства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кредиты с оставшимся сроком погашения 1 (один) год и более взвешиваемые по степени кредитного риска не более 35 (тридцати пяти) процентов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собственного капитала банка, накопленное вознаграждение, страховые активы, доля в дочерних организациях, процентная ставка по просроченному долгу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2019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 и</w:t>
            </w:r>
            <w:r>
              <w:br/>
            </w:r>
            <w:r>
              <w:rPr>
                <w:rFonts w:ascii="Times New Roman"/>
                <w:b w:val="false"/>
                <w:i w:val="false"/>
                <w:color w:val="000000"/>
                <w:sz w:val="20"/>
              </w:rPr>
              <w:t>иных обязательных к</w:t>
            </w:r>
            <w:r>
              <w:br/>
            </w:r>
            <w:r>
              <w:rPr>
                <w:rFonts w:ascii="Times New Roman"/>
                <w:b w:val="false"/>
                <w:i w:val="false"/>
                <w:color w:val="000000"/>
                <w:sz w:val="20"/>
              </w:rPr>
              <w:t>соблюдению норм и лимитов</w:t>
            </w:r>
            <w:r>
              <w:br/>
            </w:r>
            <w:r>
              <w:rPr>
                <w:rFonts w:ascii="Times New Roman"/>
                <w:b w:val="false"/>
                <w:i w:val="false"/>
                <w:color w:val="000000"/>
                <w:sz w:val="20"/>
              </w:rPr>
              <w:t>размера капитала банка на</w:t>
            </w:r>
            <w:r>
              <w:br/>
            </w:r>
            <w:r>
              <w:rPr>
                <w:rFonts w:ascii="Times New Roman"/>
                <w:b w:val="false"/>
                <w:i w:val="false"/>
                <w:color w:val="000000"/>
                <w:sz w:val="20"/>
              </w:rPr>
              <w:t>определенную дату и Правил</w:t>
            </w:r>
            <w:r>
              <w:br/>
            </w:r>
            <w:r>
              <w:rPr>
                <w:rFonts w:ascii="Times New Roman"/>
                <w:b w:val="false"/>
                <w:i w:val="false"/>
                <w:color w:val="000000"/>
                <w:sz w:val="20"/>
              </w:rPr>
              <w:t>расчета и лимитов открытой</w:t>
            </w:r>
            <w:r>
              <w:br/>
            </w:r>
            <w:r>
              <w:rPr>
                <w:rFonts w:ascii="Times New Roman"/>
                <w:b w:val="false"/>
                <w:i w:val="false"/>
                <w:color w:val="000000"/>
                <w:sz w:val="20"/>
              </w:rPr>
              <w:t>валютной позиции</w:t>
            </w:r>
          </w:p>
        </w:tc>
      </w:tr>
    </w:tbl>
    <w:bookmarkStart w:name="z80" w:id="63"/>
    <w:p>
      <w:pPr>
        <w:spacing w:after="0"/>
        <w:ind w:left="0"/>
        <w:jc w:val="left"/>
      </w:pPr>
      <w:r>
        <w:rPr>
          <w:rFonts w:ascii="Times New Roman"/>
          <w:b/>
          <w:i w:val="false"/>
          <w:color w:val="000000"/>
        </w:rPr>
        <w:t xml:space="preserve"> Таблица условных и возможных обязательств требуемого стабильного фондирования</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7969"/>
        <w:gridCol w:w="2940"/>
      </w:tblGrid>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Безотзывные и условно-отзывные кредитные линии и линии ликвидности, предоставленные любым клиентам (доля от неиспользованного объема)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4"/>
          <w:p>
            <w:pPr>
              <w:spacing w:after="20"/>
              <w:ind w:left="20"/>
              <w:jc w:val="both"/>
            </w:pPr>
            <w:r>
              <w:rPr>
                <w:rFonts w:ascii="Times New Roman"/>
                <w:b w:val="false"/>
                <w:i w:val="false"/>
                <w:color w:val="000000"/>
                <w:sz w:val="20"/>
              </w:rPr>
              <w:t>
Иные обязательства, включая следующие инструменты:</w:t>
            </w:r>
            <w:r>
              <w:br/>
            </w:r>
            <w:r>
              <w:rPr>
                <w:rFonts w:ascii="Times New Roman"/>
                <w:b w:val="false"/>
                <w:i w:val="false"/>
                <w:color w:val="000000"/>
                <w:sz w:val="20"/>
              </w:rPr>
              <w:t>
</w:t>
            </w:r>
            <w:r>
              <w:rPr>
                <w:rFonts w:ascii="Times New Roman"/>
                <w:b w:val="false"/>
                <w:i w:val="false"/>
                <w:color w:val="000000"/>
                <w:sz w:val="20"/>
              </w:rPr>
              <w:t>безусловно отзывные кредитные линии и линии ликвидности;</w:t>
            </w:r>
            <w:r>
              <w:br/>
            </w:r>
            <w:r>
              <w:rPr>
                <w:rFonts w:ascii="Times New Roman"/>
                <w:b w:val="false"/>
                <w:i w:val="false"/>
                <w:color w:val="000000"/>
                <w:sz w:val="20"/>
              </w:rPr>
              <w:t>
</w:t>
            </w:r>
            <w:r>
              <w:rPr>
                <w:rFonts w:ascii="Times New Roman"/>
                <w:b w:val="false"/>
                <w:i w:val="false"/>
                <w:color w:val="000000"/>
                <w:sz w:val="20"/>
              </w:rPr>
              <w:t>обязательства по торговому финансированию (включая гарантии и поручительства);</w:t>
            </w:r>
            <w:r>
              <w:br/>
            </w:r>
            <w:r>
              <w:rPr>
                <w:rFonts w:ascii="Times New Roman"/>
                <w:b w:val="false"/>
                <w:i w:val="false"/>
                <w:color w:val="000000"/>
                <w:sz w:val="20"/>
              </w:rPr>
              <w:t>
</w:t>
            </w:r>
            <w:r>
              <w:rPr>
                <w:rFonts w:ascii="Times New Roman"/>
                <w:b w:val="false"/>
                <w:i w:val="false"/>
                <w:color w:val="000000"/>
                <w:sz w:val="20"/>
              </w:rPr>
              <w:t>гарантии и поручительства, не связанные с финансированием экспорта и импорта товаров и услуг;</w:t>
            </w:r>
            <w:r>
              <w:br/>
            </w:r>
            <w:r>
              <w:rPr>
                <w:rFonts w:ascii="Times New Roman"/>
                <w:b w:val="false"/>
                <w:i w:val="false"/>
                <w:color w:val="000000"/>
                <w:sz w:val="20"/>
              </w:rPr>
              <w:t>
не контрактные обязательства, включая, возможные требования к выкупу долга, выпущенного банком, или связанного с структурированными продуктами</w:t>
            </w:r>
          </w:p>
          <w:bookmarkEnd w:id="64"/>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