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bb6d" w14:textId="6d9b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февраля 2019 года № 142. Зарегистрирован в Министерстве юстиции Республики Казахстан 28 февраля 2019 года № 18353.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марта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В случаях, предусмотренных подпунктами 1) и 3)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первый руководитель заказчика, а в случаях, если выделенная сумма на осуществление государственных закупок способом конкурса превышает восемьсоттысячекратный размер месячного расчетного показателя, установленного на соответствующий финансовый год аким соответствующей административно-территориальной единицы.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городов республиканского значения и столицы определяются председателями конкурсной комиссии в случае, если выделенная сумма на осуществление государственных закупок способом конкурса превышает один миллион шестьсоттысячекратный размер месячного расчетного показателя, установленного на соответствующий финансовый год.";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150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Потенциальный поставщик не допускается к участию в конкурсе (признан участником конкурса), если: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субподрядчик либо соисполнитель определены не соответствующими квалификационным требованиям по следующим основаниям: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разрешений (уведомлений),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электронных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сведений о квалификации согласно приложениям 5,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потенциального поставщика квалификационным требованиям в части обладания опытом работы на рынке закупаемых товаров, работ, услуг, наличие которых установлено в конкурсной документации (аукционной документации);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 факт представления недостоверной информации по квалификационным требованиям;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процедуре банкротства либо ликвидации;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технической спецификации, за исключением случая, когда конкурсная документация вместо технической спецификации содержит проектно-сметную документацию, прошедшую экспертизу в соответствии с законодательством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потенциальным поставщиком технической спецификации не соответствующей требованиям конкурсной документации;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сведений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передаваемым потенциальным поставщиком субподрядчикам (соисполнителям),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(в случае привлечения потенциальным поставщиком субподрядчиков (соисполнителей);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потенциальным поставщиком субподрядчикам (соисполнителям) на субподряд (соисполнение) в совокупности более одной второй объема работ (стоимости строительства), услуг в случае представления сведений о субподрядчиках;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 факт представления недостоверных сведений по документам, представленным в конкурсной заявке;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имеет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государственных закупках, предусмотренных подпунктами 1),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7), 9), 10) и 11) пункта 1 статьи 6 Закона, конкурсная комиссия рассматривает информацию на интернет-ресурсах соответствующих уполномоченных органов.";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В случае,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(1 %)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(0,5%) за каждый год наличия у него опыта работы на рынке закупаемых работ, в том числе по схожим (аналогичным) видам работ, являющихся предметом конкурса.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строительства, конкурсная комиссия присваивает условную скидку в размере ноль целых два десятых процента (0,2 %) за каждый последующий объект строительства. Если данные работы выполнены потенциальным поставщиком в качестве субподрядчика, конкурсная комиссия присваивает условную скидку в размере ноль целых одна десятая процента (0,1 %) за каждый последующий объект строительства.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предметом конкурса являются работы, не связанные со строительством, конкурсная комиссия присваивает условную скидку в размере ноль целых два десятых процента (0,2 %) за каждую последующую выполненную работу, схожую (аналогичную) видам закупаемых работ.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процентное влияние на условную цену заявки на участие в конкурсе данного критерия не превышает десять процентов.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влияние на условную цену за наличие опыта работы определяется в соответствии с приложением 5 к конкурсной документации.";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"172. При равенстве условных цен конкурсных ценовых предложений победителем признается участник конкурса, имеющий больший опыт работы в качестве генерального подрядчика на рынке закупаемых товаров, работ, услуг, в том числе по схожим видам товаров, работ, услуг, являющихся предметом конкурса.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опыта работы в качестве генерального подрядчика, победителем признается участник конкурса, имеющий больший показатель по сумме уплаченных налогов за четыре года, предшествующие предыдущему году согласно данным информационных систем органов государственных доходов.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показателей по сумме уплаченных налогов победителем признается участник конкурса, заявка на участие, которого, поступила ранее заявок на участие в конкурсе других потенциальных поставщиков.";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"401. В случае заключения договора со сроком действия более одного финансового года, размер обеспечения исполнения договора на текущий финансовый год исчисляется исходя из годовой суммы договора, предусмотренной в соответствующем финансовом году.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"442. Опыт работы на рынке закупаемых товаров, работ, услуг потенциального поставщика, может быть установлено в конкурсной документации (аукционной документации), согласно следующим критериям: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двух лет, если выделенная сумма на осуществление государственных закупок способом конкурса (лот) или аукциона превышают пятидесятитысячекратный размер месячного расчетного показателя, установленного на соответствующий финансовый год;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пяти лет, если выделенная сумма на осуществление государственных закупок способом конкурса (лот) или аукциона превышают двухсоттысячекратный размер месячного расчетного показателя, установленного на соответствующий финансовый год.";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указанным Правилам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Конкурсная комиссия присваивает условную скидку в размере ноль целых пять десятых процента (0,5 %) за каждый год наличия у потенциального поставщика опыта работы на рынке закупаемых товаров, услуг, но не более пяти процентов.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Процентное влияние на условную цену за наличие опыта работы товаров и услуг определяется в соответствии с приложениями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присваивает условную скидку в размере одного процента (1 %)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конкурса, но не более десяти процентов.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(0,5%) за каждый год наличия у него опыта работы на рынке закупаемых работ, в том числе по схожим (аналогичным) видам работ, являющихся предметом конкурса.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строительства, конкурсная комиссия присваивает условную скидку в размере ноль целых два десятых процента (0,2 %) за каждый последующий объект строительства.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данные работы выполнены потенциальным поставщиком в качестве субподрядчика, конкурсная комиссия присваивает условную скидку в размере ноль целых одна десятая процента (0,1 %) за каждый последующий объект строительства.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является работы, не связанные со строительством, конкурсная комиссия присваивает условную скидку в размере ноль целых два десятых процента (0,2 %) за каждую последующую выполненную работу, схожую (аналогичную) видам закупаемым работам.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процентное влияние на условную цену заявки на участие в конкурсе данного критерия не превышает десять процентов.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влияние на условную цену за наличие опыта работы определяется в соответствии с приложениями 5 к конкурсной документации.";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к приложению 5 к конкурсной документации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случае, если наличие опыта работы является квалификационным требованием, опыт работы в качестве субподрядчика учитывается при соблюдении в совокупности следующих условий: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год опыта работы присваивается при наличии не менее двух объектов выполненных работ в качестве субподрядчика в год. При наличии опыта работы более двух объектов выполненных работ в год, присвоение более одного года опыта работы не допускается;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работы субподрядчика учитывается при условии выполнения работ (одного или нескольких) на объектах, соответствующих предмету конкурса. При этом, опыт работы субподрядчика учитывается только по лицензируемым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сносках к указанным Правилам: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"4 Данный текст отображается при выполнении условий: 1) для всех способов закупок, кроме способа запросом ценовых предложений, через товарные биржи, из одного источника, осуществленных на основании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 также поставщиков, не являющихся субъектами предпринимательской деятельности в случае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Закона; 2) Если по договору предусмотрен аванс." изложить в следующей редакции: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Данный текст отображается при выполнении условий: 1) для всех способов закупок, кроме способа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случае, предусмотренном пунктом 6 статьи 51 Закона; 2) Если по договору предусмотрен аванс;";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"5 Данный текст отображается для всех способов закупок, кроме способа запросом ценовых предложений,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 предусмотренном пунктом 6 статьи 51 Закона;" изложить в следующей редакции: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Данный текст отображается для всех способов закупок, кроме способа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случае, предусмотренном пунктом 6 статьи 51 Закона;";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"13 Данный текст отображается при выполнении условий: 1) для всех способов закупок, кроме способа запросом ценовых предложений,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 предусмотренном пунктом 6 статьи 51 Закона;" изложить в следующей редакции: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Данный текст отображается при выполнении условий: 1) для всех способов закупок, кроме способа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случае, предусмотренном пунктом 6 статьи 51 Закона;";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"17 Данный текст отображается для всех способов закупок, кроме способа запросом ценовых предложений,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 предусмотренном пунктом 6 статьи 51 Закона;" изложить в следующей редакции: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Данный текст отображается для всех способов закупок, кроме способа через товарные биржи, из одного источника, осуществленных на основании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 также поставщиков, не являющихся субъектами предпринимательской деятельности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Закона;";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"27 Данный текст отображается при выполнении условий: 1) для всех способов закупок, кроме способа запросом ценовых предложений,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 предусмотренном пунктом 6 статьи 51 Закона;" изложить в следующей редакции: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Данный текст отображается при выполнении условий: 1) для всех способов закупок, кроме способа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случае, предусмотренном пунктом 6 статьи 51 Закона;";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"29 Данный текст отображается для всех способов закупок, кроме способа запросом ценовых предложений, через товарные биржи, из одного источника, осуществленных на основании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 также поставщиков, не являющихся субъектами предпринимательской деятельности в случае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Закона;" изложить в следующей редакции: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Данный текст отображается для всех способов закупок, кроме способа через товарные биржи, из одного источника, осуществленных на основании подпункта 2) пункта 2 и пункта 3 статьи 39 Закона, а также поставщиков, не являющихся субъектами предпринимательской деятельности в случае, предусмотренном пунктом 6 статьи 51 Закона;".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2019 года и подлежит официальному опубликованию.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субподрядчиках по выполнению работ (соисполнителях при оказании услуг), а также виды работ и услуг, передаваемых потенциальным поставщиком субподрядчикам (соисполнителям)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субподрядчика (соисполнителя)– юридического лица либо Ф.И.О. субподрядчик а (соисполнителя), являющегося физическим лицом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БИН(ИИН)/ИНН/УНП субподрядчика(соисполнителя),его полный юридический и почтовый адрес, контактный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выполняемых работ (оказываемых услуг) в соответствии с Технической спецификацией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 (оказываемых услуг) в соответствии с Технической спецификацией в денежном выражении,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 (оказываемых услуг) в соответствии с Технической спецификацией в процентном выражении,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данному субподрядчику (соисполнителю)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данному субподрядчику (соисполнителю)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всем субподрядчикам (соисполнителям)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субподрядчик (и) (соисполнитель (и)) потенциального поставщика, подающего заявку на участие в конкурсе (указать полное наименование конкурса), выражают свою осведомленность об условиях участия в государственных закупках и принимают на себя ответственность за нарушения требований, предусмотренных конкурсной документацией в части, касающейся субподрядчиков (соисполнителей) потенциального поставщика.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субподрядчика (соисполнителя) – юридического лица либо Ф.И.О. субподрядчика (соисполнителя), являющегося физическим лицом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уполномоченного представителя субподрядчика (соисполнителя)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работ и услуг, передаваемых потенциальным поставщиком субподрядчикам (соисполнителям), в соответствии с пунктом 6 статьи 9 Закона не превышает одной второй от общего объема работ и услуг.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открытого конкурса) при этом номер должен быть привязан к способу и номеру закупки (формируется на каждый лот в отдельности)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конкурса ___________________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 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конкурсе (лоте): (по хронологии) (количество заявок)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приведенных в соответствие с квалификационными требованиями и требованиями конкурсной документации заявках на участие в конкурсе (данная информация размещается при наличии протокола предварительного допуска к участию в конкурсе) (количество заявок):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повторного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участие в конкурсе были запрошены следующие документы (заполняется в случае осуществления запросов в соответствии с пунктом 5 статьи 27 Закона о государственных закупках):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 (количество заявок):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1справочник из трех текстовых значений: (несоответствие квалификационным требованиям, несоответствие требованиям конкурсной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 (количество заявок):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результатах применения относительного значения критериев,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 всем заявкам на участие в конкурсе, представленным на участие в данном конкурсе: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(ИИН)/ИНН/НП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потенциального поставщика документа, подтверждающего соответствие системы менеджмента качества национальному или международному стандарту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потенциального поставщика документа, подтверждающего соответствие системы экологического менеджмента национальному стандарту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потенциального поставщика документа, подтверждающего соответствие стандарту экологической чистой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добровольном подтверждении соответствия предлагаемых товаров, национальным стандартам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характеристики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товаров,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товаров, услуг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характеристики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условная скидка, 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соответствии со статьей 26 Закона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качестве генерального подрядчика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уплаченных налогов за четыре года, предшествующие предыдущему году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(наименование заказчика) в сроки, установленные Законом Республики Казахстан "О государственных закупках", заключить договор о государственных закупках с (БИН/ИИН наименование потенциального поставщика победителя).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государственную закупку (наименование закупки) по лоту №___ несостоявшейся в связи с _____________________ *":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заявок", "представление менее двух заявок", "к участию в конкурсе не допущен ни один потенциальный поставщик", "к участию в конкурсе допущен один потенциальный поставщик".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дд.мм.гггг.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(_______________________).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подпунктом __ пункта 10 статьи 5 Закона Республики Казахстан "О государственных закупках".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