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0a96" w14:textId="4330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6 марта 2015 года № 190 "Об утверждении Правил организации и ведения мероприятий гражданской обороны"</w:t>
      </w:r>
    </w:p>
    <w:p>
      <w:pPr>
        <w:spacing w:after="0"/>
        <w:ind w:left="0"/>
        <w:jc w:val="both"/>
      </w:pPr>
      <w:r>
        <w:rPr>
          <w:rFonts w:ascii="Times New Roman"/>
          <w:b w:val="false"/>
          <w:i w:val="false"/>
          <w:color w:val="000000"/>
          <w:sz w:val="28"/>
        </w:rPr>
        <w:t>Приказ Министра внутренних дел Республики Казахстан от 9 апреля 2019 года № 283. Зарегистрирован в Министерстве юстиции Республики Казахстан 12 апреля 2019 года № 18504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6 марта 2015 года № 190 "Об утверждении Правил организации и ведения мероприятий гражданской обороны" (зарегистрированный в Реестре государственной регистрации нормативных правовых актов за № 10716, опубликованный 21 апреля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ведения мероприятий гражданской обороны,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6-1 изложить в следующей редакции:</w:t>
      </w:r>
    </w:p>
    <w:bookmarkStart w:name="z10" w:id="5"/>
    <w:p>
      <w:pPr>
        <w:spacing w:after="0"/>
        <w:ind w:left="0"/>
        <w:jc w:val="both"/>
      </w:pPr>
      <w:r>
        <w:rPr>
          <w:rFonts w:ascii="Times New Roman"/>
          <w:b w:val="false"/>
          <w:i w:val="false"/>
          <w:color w:val="000000"/>
          <w:sz w:val="28"/>
        </w:rPr>
        <w:t>
      "5. Центральные и местные исполнительные органы областей, столицы, городов республиканского значения ежегодно в период с 10 по 20 ноября соответствующего года представляют в ведомство уполномоченного органа отчеты о выполнении мероприятий гражданской обороны в текущем году (далее - отчет), по форме, согласно приложению 1 к настоящим Правилам.</w:t>
      </w:r>
    </w:p>
    <w:bookmarkEnd w:id="5"/>
    <w:bookmarkStart w:name="z11" w:id="6"/>
    <w:p>
      <w:pPr>
        <w:spacing w:after="0"/>
        <w:ind w:left="0"/>
        <w:jc w:val="both"/>
      </w:pPr>
      <w:r>
        <w:rPr>
          <w:rFonts w:ascii="Times New Roman"/>
          <w:b w:val="false"/>
          <w:i w:val="false"/>
          <w:color w:val="000000"/>
          <w:sz w:val="28"/>
        </w:rPr>
        <w:t>
      6. Местные исполнительные органы городов и районов областного значения, районов в городе, службы гражданской защиты областей, столицы, городов республиканского значения, территориальные подразделения центральных исполнительных органов ежегодно в период с 1 по 10 ноября соответствующего года представляют отчеты в территориальные подразделения ведомства уполномоченного органа, по форме, согласно приложению 1 к настоящим Правилам.</w:t>
      </w:r>
    </w:p>
    <w:bookmarkEnd w:id="6"/>
    <w:bookmarkStart w:name="z12" w:id="7"/>
    <w:p>
      <w:pPr>
        <w:spacing w:after="0"/>
        <w:ind w:left="0"/>
        <w:jc w:val="both"/>
      </w:pPr>
      <w:r>
        <w:rPr>
          <w:rFonts w:ascii="Times New Roman"/>
          <w:b w:val="false"/>
          <w:i w:val="false"/>
          <w:color w:val="000000"/>
          <w:sz w:val="28"/>
        </w:rPr>
        <w:t xml:space="preserve">
      6-1. Службы гражданской защиты городов и районов областного значения, городов, районов в городе, организации, отнесенные к категориям по гражданской обороне, ежегодно в период с 1 по 10 ноября соответствующего года представляют отчеты в районные и городские Управления (отделы) по чрезвычайным ситуациям территориальных подразделений ведомства уполномоченного органа,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
    <w:bookmarkStart w:name="z13"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"Глава 2. Руководство и управление гражданской обороной";</w:t>
      </w:r>
    </w:p>
    <w:bookmarkEnd w:id="9"/>
    <w:bookmarkStart w:name="z15"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3. План гражданской обороны";</w:t>
      </w:r>
    </w:p>
    <w:bookmarkEnd w:id="11"/>
    <w:bookmarkStart w:name="z17"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"Глава 4. Службы и силы гражданской защиты";</w:t>
      </w:r>
    </w:p>
    <w:bookmarkEnd w:id="13"/>
    <w:bookmarkStart w:name="z19" w:id="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"Глава 5. Эвакуационные мероприятия";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"47. Состав и положение эвакуационной (эвакоприемной) комиссий утверждается соответствующим начальником гражданской обороны.</w:t>
      </w:r>
    </w:p>
    <w:bookmarkEnd w:id="16"/>
    <w:bookmarkStart w:name="z23" w:id="17"/>
    <w:p>
      <w:pPr>
        <w:spacing w:after="0"/>
        <w:ind w:left="0"/>
        <w:jc w:val="both"/>
      </w:pPr>
      <w:r>
        <w:rPr>
          <w:rFonts w:ascii="Times New Roman"/>
          <w:b w:val="false"/>
          <w:i w:val="false"/>
          <w:color w:val="000000"/>
          <w:sz w:val="28"/>
        </w:rPr>
        <w:t>
      Состав эвакуационной (эвакоприемной) комиссии соответствующей административно-территориальной единицы определяет территориальное подразделение ведомства уполномоченного органа в сфере гражданской защиты по согласованию с местным исполнительным органом, территориальными подразделениями центральных исполнительных органов и организациями.</w:t>
      </w:r>
    </w:p>
    <w:bookmarkEnd w:id="17"/>
    <w:bookmarkStart w:name="z24" w:id="18"/>
    <w:p>
      <w:pPr>
        <w:spacing w:after="0"/>
        <w:ind w:left="0"/>
        <w:jc w:val="both"/>
      </w:pPr>
      <w:r>
        <w:rPr>
          <w:rFonts w:ascii="Times New Roman"/>
          <w:b w:val="false"/>
          <w:i w:val="false"/>
          <w:color w:val="000000"/>
          <w:sz w:val="28"/>
        </w:rPr>
        <w:t>
      Председателями эвакуационных комиссий назначается один из заместителей руководителя центрального (местного) исполнительного органа, организации, отнесенной к категории по гражданской обороне, а председателями эвакоприемных комиссий - заместители руководителей местных исполнительных органов.</w:t>
      </w:r>
    </w:p>
    <w:bookmarkEnd w:id="18"/>
    <w:bookmarkStart w:name="z25" w:id="19"/>
    <w:p>
      <w:pPr>
        <w:spacing w:after="0"/>
        <w:ind w:left="0"/>
        <w:jc w:val="both"/>
      </w:pPr>
      <w:r>
        <w:rPr>
          <w:rFonts w:ascii="Times New Roman"/>
          <w:b w:val="false"/>
          <w:i w:val="false"/>
          <w:color w:val="000000"/>
          <w:sz w:val="28"/>
        </w:rPr>
        <w:t>
      Типовая структура администрации эвакуационной комиссии определена в приложении 1-1 к настоящим Правилам.</w:t>
      </w:r>
    </w:p>
    <w:bookmarkEnd w:id="19"/>
    <w:bookmarkStart w:name="z26" w:id="20"/>
    <w:p>
      <w:pPr>
        <w:spacing w:after="0"/>
        <w:ind w:left="0"/>
        <w:jc w:val="both"/>
      </w:pPr>
      <w:r>
        <w:rPr>
          <w:rFonts w:ascii="Times New Roman"/>
          <w:b w:val="false"/>
          <w:i w:val="false"/>
          <w:color w:val="000000"/>
          <w:sz w:val="28"/>
        </w:rPr>
        <w:t>
      Типовая структура администрации эвакоприемной комиссии определена в приложении 1-2 к настоящим Правилам.</w:t>
      </w:r>
    </w:p>
    <w:bookmarkEnd w:id="20"/>
    <w:bookmarkStart w:name="z27" w:id="21"/>
    <w:p>
      <w:pPr>
        <w:spacing w:after="0"/>
        <w:ind w:left="0"/>
        <w:jc w:val="both"/>
      </w:pPr>
      <w:r>
        <w:rPr>
          <w:rFonts w:ascii="Times New Roman"/>
          <w:b w:val="false"/>
          <w:i w:val="false"/>
          <w:color w:val="000000"/>
          <w:sz w:val="28"/>
        </w:rPr>
        <w:t>
      48. Сборные эвакуационные пункты предназначены для сбора и регистрации эвакуируемых и их отправки в пункты посадки и на исходные пункты движения. Администрация сборных эвакуационных пунктов назначается заблаговременно постановлениями местных исполнительных органов, приказами по организациям. Сборные эвакуационные пункты подчиняются в своей деятельности эвакуационным комиссиям.</w:t>
      </w:r>
    </w:p>
    <w:bookmarkEnd w:id="21"/>
    <w:bookmarkStart w:name="z28" w:id="22"/>
    <w:p>
      <w:pPr>
        <w:spacing w:after="0"/>
        <w:ind w:left="0"/>
        <w:jc w:val="both"/>
      </w:pPr>
      <w:r>
        <w:rPr>
          <w:rFonts w:ascii="Times New Roman"/>
          <w:b w:val="false"/>
          <w:i w:val="false"/>
          <w:color w:val="000000"/>
          <w:sz w:val="28"/>
        </w:rPr>
        <w:t>
      Каждому сборному пункту присваивается порядковый номер. Все сборные эвакуационные пункты в обязательном порядке обеспечиваются прямой связью с соответствующими эвакуационными комиссиями, исходными пунктами маршрутов пешей эвакуации, с пунктами посадки и транспортными органами, осуществляющими перевозку эвакуируемых. При необходимости на сборных эвакуационных пунктах создаются пункты выдачи противогазов населению.</w:t>
      </w:r>
    </w:p>
    <w:bookmarkEnd w:id="22"/>
    <w:bookmarkStart w:name="z29" w:id="23"/>
    <w:p>
      <w:pPr>
        <w:spacing w:after="0"/>
        <w:ind w:left="0"/>
        <w:jc w:val="both"/>
      </w:pPr>
      <w:r>
        <w:rPr>
          <w:rFonts w:ascii="Times New Roman"/>
          <w:b w:val="false"/>
          <w:i w:val="false"/>
          <w:color w:val="000000"/>
          <w:sz w:val="28"/>
        </w:rPr>
        <w:t>
      На сборном эвакуационном пункте разрабатываются следующие документы:</w:t>
      </w:r>
    </w:p>
    <w:bookmarkEnd w:id="23"/>
    <w:bookmarkStart w:name="z30" w:id="24"/>
    <w:p>
      <w:pPr>
        <w:spacing w:after="0"/>
        <w:ind w:left="0"/>
        <w:jc w:val="both"/>
      </w:pPr>
      <w:r>
        <w:rPr>
          <w:rFonts w:ascii="Times New Roman"/>
          <w:b w:val="false"/>
          <w:i w:val="false"/>
          <w:color w:val="000000"/>
          <w:sz w:val="28"/>
        </w:rPr>
        <w:t>
      1) обязанности должностных лиц сборного эвакуационного пункта;</w:t>
      </w:r>
    </w:p>
    <w:bookmarkEnd w:id="24"/>
    <w:bookmarkStart w:name="z31" w:id="25"/>
    <w:p>
      <w:pPr>
        <w:spacing w:after="0"/>
        <w:ind w:left="0"/>
        <w:jc w:val="both"/>
      </w:pPr>
      <w:r>
        <w:rPr>
          <w:rFonts w:ascii="Times New Roman"/>
          <w:b w:val="false"/>
          <w:i w:val="false"/>
          <w:color w:val="000000"/>
          <w:sz w:val="28"/>
        </w:rPr>
        <w:t>
      2) список личного состава сборного эвакуационного пункта, порядок оповещения (адрес, номер телефонов);</w:t>
      </w:r>
    </w:p>
    <w:bookmarkEnd w:id="25"/>
    <w:bookmarkStart w:name="z32" w:id="26"/>
    <w:p>
      <w:pPr>
        <w:spacing w:after="0"/>
        <w:ind w:left="0"/>
        <w:jc w:val="both"/>
      </w:pPr>
      <w:r>
        <w:rPr>
          <w:rFonts w:ascii="Times New Roman"/>
          <w:b w:val="false"/>
          <w:i w:val="false"/>
          <w:color w:val="000000"/>
          <w:sz w:val="28"/>
        </w:rPr>
        <w:t>
      3) выписка из решения местных исполнительных органов об организации сборного эвакуационного пункта и назначении личного состава;</w:t>
      </w:r>
    </w:p>
    <w:bookmarkEnd w:id="26"/>
    <w:bookmarkStart w:name="z33" w:id="27"/>
    <w:p>
      <w:pPr>
        <w:spacing w:after="0"/>
        <w:ind w:left="0"/>
        <w:jc w:val="both"/>
      </w:pPr>
      <w:r>
        <w:rPr>
          <w:rFonts w:ascii="Times New Roman"/>
          <w:b w:val="false"/>
          <w:i w:val="false"/>
          <w:color w:val="000000"/>
          <w:sz w:val="28"/>
        </w:rPr>
        <w:t>
      4) список телефонов, организаций, отправляемых со сборного эвакуационного пункта, эвакуационных комиссий (городской, районной), пунктов посадки на транспорт;</w:t>
      </w:r>
    </w:p>
    <w:bookmarkEnd w:id="27"/>
    <w:bookmarkStart w:name="z34" w:id="28"/>
    <w:p>
      <w:pPr>
        <w:spacing w:after="0"/>
        <w:ind w:left="0"/>
        <w:jc w:val="both"/>
      </w:pPr>
      <w:r>
        <w:rPr>
          <w:rFonts w:ascii="Times New Roman"/>
          <w:b w:val="false"/>
          <w:i w:val="false"/>
          <w:color w:val="000000"/>
          <w:sz w:val="28"/>
        </w:rPr>
        <w:t>
      5) список организаций на территории сборного эвакуационного пункта и сроки их отправки;</w:t>
      </w:r>
    </w:p>
    <w:bookmarkEnd w:id="28"/>
    <w:bookmarkStart w:name="z35" w:id="29"/>
    <w:p>
      <w:pPr>
        <w:spacing w:after="0"/>
        <w:ind w:left="0"/>
        <w:jc w:val="both"/>
      </w:pPr>
      <w:r>
        <w:rPr>
          <w:rFonts w:ascii="Times New Roman"/>
          <w:b w:val="false"/>
          <w:i w:val="false"/>
          <w:color w:val="000000"/>
          <w:sz w:val="28"/>
        </w:rPr>
        <w:t>
      6) схема (план) территории сборного эвакуационного пункта и помещений по их предназначению;</w:t>
      </w:r>
    </w:p>
    <w:bookmarkEnd w:id="29"/>
    <w:bookmarkStart w:name="z36" w:id="30"/>
    <w:p>
      <w:pPr>
        <w:spacing w:after="0"/>
        <w:ind w:left="0"/>
        <w:jc w:val="both"/>
      </w:pPr>
      <w:r>
        <w:rPr>
          <w:rFonts w:ascii="Times New Roman"/>
          <w:b w:val="false"/>
          <w:i w:val="false"/>
          <w:color w:val="000000"/>
          <w:sz w:val="28"/>
        </w:rPr>
        <w:t>
      7) перечень закрепленных за сборным эвакуационном пунктом ближайших защитных сооружений;</w:t>
      </w:r>
    </w:p>
    <w:bookmarkEnd w:id="30"/>
    <w:bookmarkStart w:name="z37" w:id="31"/>
    <w:p>
      <w:pPr>
        <w:spacing w:after="0"/>
        <w:ind w:left="0"/>
        <w:jc w:val="both"/>
      </w:pPr>
      <w:r>
        <w:rPr>
          <w:rFonts w:ascii="Times New Roman"/>
          <w:b w:val="false"/>
          <w:i w:val="false"/>
          <w:color w:val="000000"/>
          <w:sz w:val="28"/>
        </w:rPr>
        <w:t>
      8) график прибытия и отправки автоколонн, обслуживающих сборный эвакуационный пункт;</w:t>
      </w:r>
    </w:p>
    <w:bookmarkEnd w:id="31"/>
    <w:bookmarkStart w:name="z38" w:id="32"/>
    <w:p>
      <w:pPr>
        <w:spacing w:after="0"/>
        <w:ind w:left="0"/>
        <w:jc w:val="both"/>
      </w:pPr>
      <w:r>
        <w:rPr>
          <w:rFonts w:ascii="Times New Roman"/>
          <w:b w:val="false"/>
          <w:i w:val="false"/>
          <w:color w:val="000000"/>
          <w:sz w:val="28"/>
        </w:rPr>
        <w:t>
      9) образец заявки на перевозку;</w:t>
      </w:r>
    </w:p>
    <w:bookmarkEnd w:id="32"/>
    <w:bookmarkStart w:name="z39" w:id="33"/>
    <w:p>
      <w:pPr>
        <w:spacing w:after="0"/>
        <w:ind w:left="0"/>
        <w:jc w:val="both"/>
      </w:pPr>
      <w:r>
        <w:rPr>
          <w:rFonts w:ascii="Times New Roman"/>
          <w:b w:val="false"/>
          <w:i w:val="false"/>
          <w:color w:val="000000"/>
          <w:sz w:val="28"/>
        </w:rPr>
        <w:t xml:space="preserve">
      10) образец эвакуационного удостоверения и информация о его выдаче. </w:t>
      </w:r>
    </w:p>
    <w:bookmarkEnd w:id="33"/>
    <w:bookmarkStart w:name="z40" w:id="34"/>
    <w:p>
      <w:pPr>
        <w:spacing w:after="0"/>
        <w:ind w:left="0"/>
        <w:jc w:val="both"/>
      </w:pPr>
      <w:r>
        <w:rPr>
          <w:rFonts w:ascii="Times New Roman"/>
          <w:b w:val="false"/>
          <w:i w:val="false"/>
          <w:color w:val="000000"/>
          <w:sz w:val="28"/>
        </w:rPr>
        <w:t>
      Типовая структура администрации сборного эвакуационного пункта определена в приложении 1-3 к настоящим Правилам.</w:t>
      </w:r>
    </w:p>
    <w:bookmarkEnd w:id="34"/>
    <w:bookmarkStart w:name="z41" w:id="35"/>
    <w:p>
      <w:pPr>
        <w:spacing w:after="0"/>
        <w:ind w:left="0"/>
        <w:jc w:val="both"/>
      </w:pPr>
      <w:r>
        <w:rPr>
          <w:rFonts w:ascii="Times New Roman"/>
          <w:b w:val="false"/>
          <w:i w:val="false"/>
          <w:color w:val="000000"/>
          <w:sz w:val="28"/>
        </w:rPr>
        <w:t>
      49. Промежуточные пункты эвакуации создаются, если районы постоянного размещения находятся на удалении более суточного перехода, за пределами зон возможных разрушений, вблизи путей сообщения. Они предназначены для кратковременного размещения (отдыха) эвакуируемого населения, его перерегистрации, проведения при необходимости дозиметрического, противохимического контроля, санитарной обработки людей и отправке их в места расселения в безопасной зоне.</w:t>
      </w:r>
    </w:p>
    <w:bookmarkEnd w:id="35"/>
    <w:bookmarkStart w:name="z42" w:id="36"/>
    <w:p>
      <w:pPr>
        <w:spacing w:after="0"/>
        <w:ind w:left="0"/>
        <w:jc w:val="both"/>
      </w:pPr>
      <w:r>
        <w:rPr>
          <w:rFonts w:ascii="Times New Roman"/>
          <w:b w:val="false"/>
          <w:i w:val="false"/>
          <w:color w:val="000000"/>
          <w:sz w:val="28"/>
        </w:rPr>
        <w:t>
      Типовая структура администрации промежуточного пункта эвакуации определена в приложении 1-4 к настоящим Правилам.</w:t>
      </w:r>
    </w:p>
    <w:bookmarkEnd w:id="36"/>
    <w:bookmarkStart w:name="z43" w:id="37"/>
    <w:p>
      <w:pPr>
        <w:spacing w:after="0"/>
        <w:ind w:left="0"/>
        <w:jc w:val="both"/>
      </w:pPr>
      <w:r>
        <w:rPr>
          <w:rFonts w:ascii="Times New Roman"/>
          <w:b w:val="false"/>
          <w:i w:val="false"/>
          <w:color w:val="000000"/>
          <w:sz w:val="28"/>
        </w:rPr>
        <w:t xml:space="preserve">
      50. Приемные эвакуационные пункты развертываются в пунктах высадки и предназначены для приема эвакуируемых и отправки их в места расселения. </w:t>
      </w:r>
    </w:p>
    <w:bookmarkEnd w:id="37"/>
    <w:bookmarkStart w:name="z44" w:id="38"/>
    <w:p>
      <w:pPr>
        <w:spacing w:after="0"/>
        <w:ind w:left="0"/>
        <w:jc w:val="both"/>
      </w:pPr>
      <w:r>
        <w:rPr>
          <w:rFonts w:ascii="Times New Roman"/>
          <w:b w:val="false"/>
          <w:i w:val="false"/>
          <w:color w:val="000000"/>
          <w:sz w:val="28"/>
        </w:rPr>
        <w:t>
      Типовая структура администрации приемного эвакуационного пункта определена в приложении 1-5 к настоящим Правилам.";</w:t>
      </w:r>
    </w:p>
    <w:bookmarkEnd w:id="38"/>
    <w:bookmarkStart w:name="z45" w:id="39"/>
    <w:p>
      <w:pPr>
        <w:spacing w:after="0"/>
        <w:ind w:left="0"/>
        <w:jc w:val="both"/>
      </w:pPr>
      <w:r>
        <w:rPr>
          <w:rFonts w:ascii="Times New Roman"/>
          <w:b w:val="false"/>
          <w:i w:val="false"/>
          <w:color w:val="000000"/>
          <w:sz w:val="28"/>
        </w:rPr>
        <w:t xml:space="preserve">
      дополнить пунктами 50-1, 50-2 и 50-3 следующего содержания: </w:t>
      </w:r>
    </w:p>
    <w:bookmarkEnd w:id="39"/>
    <w:bookmarkStart w:name="z46" w:id="40"/>
    <w:p>
      <w:pPr>
        <w:spacing w:after="0"/>
        <w:ind w:left="0"/>
        <w:jc w:val="both"/>
      </w:pPr>
      <w:r>
        <w:rPr>
          <w:rFonts w:ascii="Times New Roman"/>
          <w:b w:val="false"/>
          <w:i w:val="false"/>
          <w:color w:val="000000"/>
          <w:sz w:val="28"/>
        </w:rPr>
        <w:t>
      "50-1. Пункты приема пострадавшего населения предназначены для организации непосредственного расселения пострадавшего населения на период ликвидации последствий чрезвычайных ситуаций в зависимости от типа чрезвычайных ситуаций.</w:t>
      </w:r>
    </w:p>
    <w:bookmarkEnd w:id="40"/>
    <w:bookmarkStart w:name="z47" w:id="41"/>
    <w:p>
      <w:pPr>
        <w:spacing w:after="0"/>
        <w:ind w:left="0"/>
        <w:jc w:val="both"/>
      </w:pPr>
      <w:r>
        <w:rPr>
          <w:rFonts w:ascii="Times New Roman"/>
          <w:b w:val="false"/>
          <w:i w:val="false"/>
          <w:color w:val="000000"/>
          <w:sz w:val="28"/>
        </w:rPr>
        <w:t xml:space="preserve">
      Типовая структура администрации пункта приема пострадавшего населения определена в приложении 1-6 к настоящим Правилам. </w:t>
      </w:r>
    </w:p>
    <w:bookmarkEnd w:id="41"/>
    <w:bookmarkStart w:name="z48" w:id="42"/>
    <w:p>
      <w:pPr>
        <w:spacing w:after="0"/>
        <w:ind w:left="0"/>
        <w:jc w:val="both"/>
      </w:pPr>
      <w:r>
        <w:rPr>
          <w:rFonts w:ascii="Times New Roman"/>
          <w:b w:val="false"/>
          <w:i w:val="false"/>
          <w:color w:val="000000"/>
          <w:sz w:val="28"/>
        </w:rPr>
        <w:t>
      50-2. Структура и численность сборных эвакуационных пунктов, промежуточных пунктов эвакуации, приемных эвакуационных пунктов, пунктов приема пострадавшего населения определяется руководителями эвакуационных (эвакоприемных) комиссий, с учетом количества эвакуируемого (прибывающего) населения и объема мероприятий, связанных с его обеспечением.</w:t>
      </w:r>
    </w:p>
    <w:bookmarkEnd w:id="42"/>
    <w:bookmarkStart w:name="z49" w:id="43"/>
    <w:p>
      <w:pPr>
        <w:spacing w:after="0"/>
        <w:ind w:left="0"/>
        <w:jc w:val="both"/>
      </w:pPr>
      <w:r>
        <w:rPr>
          <w:rFonts w:ascii="Times New Roman"/>
          <w:b w:val="false"/>
          <w:i w:val="false"/>
          <w:color w:val="000000"/>
          <w:sz w:val="28"/>
        </w:rPr>
        <w:t>
      50-3. Для приема, размещения эвакуируемого населения используются объекты двойного назначения.</w:t>
      </w:r>
    </w:p>
    <w:bookmarkEnd w:id="43"/>
    <w:bookmarkStart w:name="z50" w:id="44"/>
    <w:p>
      <w:pPr>
        <w:spacing w:after="0"/>
        <w:ind w:left="0"/>
        <w:jc w:val="both"/>
      </w:pPr>
      <w:r>
        <w:rPr>
          <w:rFonts w:ascii="Times New Roman"/>
          <w:b w:val="false"/>
          <w:i w:val="false"/>
          <w:color w:val="000000"/>
          <w:sz w:val="28"/>
        </w:rPr>
        <w:t>
      Под объектами двойного назначения понимаются объекты социальной сферы, с массовым пребыванием людей, которые используются в качестве сборных эвакуационных пунктов, промежуточных пунктов эвакуации, приемных эвакуационных пунктов.</w:t>
      </w:r>
    </w:p>
    <w:bookmarkEnd w:id="44"/>
    <w:bookmarkStart w:name="z51" w:id="45"/>
    <w:p>
      <w:pPr>
        <w:spacing w:after="0"/>
        <w:ind w:left="0"/>
        <w:jc w:val="both"/>
      </w:pPr>
      <w:r>
        <w:rPr>
          <w:rFonts w:ascii="Times New Roman"/>
          <w:b w:val="false"/>
          <w:i w:val="false"/>
          <w:color w:val="000000"/>
          <w:sz w:val="28"/>
        </w:rPr>
        <w:t>
      Перечень объектов двойного назначения определяются эвакуационными (эвакоприемными) комиссиями и утверждаются решениями акимов соответствующих административно-территориальных единиц.";</w:t>
      </w:r>
    </w:p>
    <w:bookmarkEnd w:id="45"/>
    <w:bookmarkStart w:name="z52"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46"/>
    <w:bookmarkStart w:name="z53" w:id="47"/>
    <w:p>
      <w:pPr>
        <w:spacing w:after="0"/>
        <w:ind w:left="0"/>
        <w:jc w:val="both"/>
      </w:pPr>
      <w:r>
        <w:rPr>
          <w:rFonts w:ascii="Times New Roman"/>
          <w:b w:val="false"/>
          <w:i w:val="false"/>
          <w:color w:val="000000"/>
          <w:sz w:val="28"/>
        </w:rPr>
        <w:t>
      "Глава 6. Инженерно-технические мероприятия гражданской обороной";</w:t>
      </w:r>
    </w:p>
    <w:bookmarkEnd w:id="47"/>
    <w:bookmarkStart w:name="z54"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48"/>
    <w:bookmarkStart w:name="z55" w:id="49"/>
    <w:p>
      <w:pPr>
        <w:spacing w:after="0"/>
        <w:ind w:left="0"/>
        <w:jc w:val="both"/>
      </w:pPr>
      <w:r>
        <w:rPr>
          <w:rFonts w:ascii="Times New Roman"/>
          <w:b w:val="false"/>
          <w:i w:val="false"/>
          <w:color w:val="000000"/>
          <w:sz w:val="28"/>
        </w:rPr>
        <w:t>
      "Глава 7. Объекты и имущество гражданской обороной";</w:t>
      </w:r>
    </w:p>
    <w:bookmarkEnd w:id="49"/>
    <w:bookmarkStart w:name="z56" w:id="50"/>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0"/>
    <w:bookmarkStart w:name="z57" w:id="51"/>
    <w:p>
      <w:pPr>
        <w:spacing w:after="0"/>
        <w:ind w:left="0"/>
        <w:jc w:val="both"/>
      </w:pPr>
      <w:r>
        <w:rPr>
          <w:rFonts w:ascii="Times New Roman"/>
          <w:b w:val="false"/>
          <w:i w:val="false"/>
          <w:color w:val="000000"/>
          <w:sz w:val="28"/>
        </w:rPr>
        <w:t xml:space="preserve">
      дополнить приложением 1-2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1"/>
    <w:bookmarkStart w:name="z58" w:id="52"/>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2"/>
    <w:bookmarkStart w:name="z59" w:id="53"/>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3"/>
    <w:bookmarkStart w:name="z60" w:id="54"/>
    <w:p>
      <w:pPr>
        <w:spacing w:after="0"/>
        <w:ind w:left="0"/>
        <w:jc w:val="both"/>
      </w:pPr>
      <w:r>
        <w:rPr>
          <w:rFonts w:ascii="Times New Roman"/>
          <w:b w:val="false"/>
          <w:i w:val="false"/>
          <w:color w:val="000000"/>
          <w:sz w:val="28"/>
        </w:rPr>
        <w:t xml:space="preserve">
      дополнить приложением 1-5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4"/>
    <w:bookmarkStart w:name="z61" w:id="55"/>
    <w:p>
      <w:pPr>
        <w:spacing w:after="0"/>
        <w:ind w:left="0"/>
        <w:jc w:val="both"/>
      </w:pPr>
      <w:r>
        <w:rPr>
          <w:rFonts w:ascii="Times New Roman"/>
          <w:b w:val="false"/>
          <w:i w:val="false"/>
          <w:color w:val="000000"/>
          <w:sz w:val="28"/>
        </w:rPr>
        <w:t xml:space="preserve">
      дополнить приложением 1-6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5"/>
    <w:bookmarkStart w:name="z62" w:id="56"/>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(В.Р. Беккер) в установленном законодательством Республики Казахстан порядке обеспечить:</w:t>
      </w:r>
    </w:p>
    <w:bookmarkEnd w:id="56"/>
    <w:bookmarkStart w:name="z63"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64" w:id="5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8"/>
    <w:bookmarkStart w:name="z65" w:id="59"/>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9"/>
    <w:bookmarkStart w:name="z66" w:id="6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согласно подпунктам 1), 2) и 3) настоящего пункта.</w:t>
      </w:r>
    </w:p>
    <w:bookmarkEnd w:id="60"/>
    <w:bookmarkStart w:name="z67" w:id="6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1"/>
    <w:bookmarkStart w:name="z68" w:id="6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генерал-майор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w:t>
                  </w:r>
                  <w:r>
                    <w:br/>
                  </w:r>
                  <w:r>
                    <w:rPr>
                      <w:rFonts w:ascii="Times New Roman"/>
                      <w:b w:val="false"/>
                      <w:i/>
                      <w:color w:val="000000"/>
                      <w:sz w:val="20"/>
                    </w:rPr>
                    <w:t>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информации</w:t>
                  </w:r>
                  <w:r>
                    <w:br/>
                  </w:r>
                  <w:r>
                    <w:rPr>
                      <w:rFonts w:ascii="Times New Roman"/>
                      <w:b w:val="false"/>
                      <w:i/>
                      <w:color w:val="000000"/>
                      <w:sz w:val="20"/>
                    </w:rPr>
                    <w:t>и общественного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обороны</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юстиции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w:t>
                  </w:r>
                  <w:r>
                    <w:br/>
                  </w:r>
                  <w:r>
                    <w:rPr>
                      <w:rFonts w:ascii="Times New Roman"/>
                      <w:b w:val="false"/>
                      <w:i/>
                      <w:color w:val="000000"/>
                      <w:sz w:val="20"/>
                    </w:rPr>
                    <w:t>культуры и спорта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w:t>
                  </w:r>
                  <w:r>
                    <w:br/>
                  </w:r>
                  <w:r>
                    <w:rPr>
                      <w:rFonts w:ascii="Times New Roman"/>
                      <w:b w:val="false"/>
                      <w:i/>
                      <w:color w:val="000000"/>
                      <w:sz w:val="20"/>
                    </w:rPr>
                    <w:t>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иностранных дел</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труда и социальной</w:t>
                  </w:r>
                  <w:r>
                    <w:br/>
                  </w:r>
                  <w:r>
                    <w:rPr>
                      <w:rFonts w:ascii="Times New Roman"/>
                      <w:b w:val="false"/>
                      <w:i/>
                      <w:color w:val="000000"/>
                      <w:sz w:val="20"/>
                    </w:rPr>
                    <w:t>защиты населения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цифрового</w:t>
                  </w:r>
                  <w:r>
                    <w:br/>
                  </w:r>
                  <w:r>
                    <w:rPr>
                      <w:rFonts w:ascii="Times New Roman"/>
                      <w:b w:val="false"/>
                      <w:i/>
                      <w:color w:val="000000"/>
                      <w:sz w:val="20"/>
                    </w:rPr>
                    <w:t>развития, оборонной</w:t>
                  </w:r>
                  <w:r>
                    <w:br/>
                  </w:r>
                  <w:r>
                    <w:rPr>
                      <w:rFonts w:ascii="Times New Roman"/>
                      <w:b w:val="false"/>
                      <w:i/>
                      <w:color w:val="000000"/>
                      <w:sz w:val="20"/>
                    </w:rPr>
                    <w:t>и аэрокосмической</w:t>
                  </w:r>
                  <w:r>
                    <w:br/>
                  </w:r>
                  <w:r>
                    <w:rPr>
                      <w:rFonts w:ascii="Times New Roman"/>
                      <w:b w:val="false"/>
                      <w:i/>
                      <w:color w:val="000000"/>
                      <w:sz w:val="20"/>
                    </w:rPr>
                    <w:t>промышленности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"СОГЛАСОВАН"</w:t>
                  </w:r>
                  <w:r>
                    <w:br/>
                  </w:r>
                  <w:r>
                    <w:rPr>
                      <w:rFonts w:ascii="Times New Roman"/>
                      <w:b w:val="false"/>
                      <w:i/>
                      <w:color w:val="000000"/>
                      <w:sz w:val="20"/>
                    </w:rPr>
                    <w:t>Министерство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72" w:id="63"/>
    <w:p>
      <w:pPr>
        <w:spacing w:after="0"/>
        <w:ind w:left="0"/>
        <w:jc w:val="left"/>
      </w:pPr>
      <w:r>
        <w:rPr>
          <w:rFonts w:ascii="Times New Roman"/>
          <w:b/>
          <w:i w:val="false"/>
          <w:color w:val="000000"/>
        </w:rPr>
        <w:t xml:space="preserve"> Типовая структура администрации эвакуационной комиссии</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Примечание: </w:t>
      </w:r>
    </w:p>
    <w:bookmarkEnd w:id="65"/>
    <w:bookmarkStart w:name="z75" w:id="66"/>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структуру администрации эвакуационной комиссии, вносятся соответствующие изменения.</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78" w:id="67"/>
    <w:p>
      <w:pPr>
        <w:spacing w:after="0"/>
        <w:ind w:left="0"/>
        <w:jc w:val="left"/>
      </w:pPr>
      <w:r>
        <w:rPr>
          <w:rFonts w:ascii="Times New Roman"/>
          <w:b/>
          <w:i w:val="false"/>
          <w:color w:val="000000"/>
        </w:rPr>
        <w:t xml:space="preserve"> Типовая структура администрации эвакоприемной комиссии</w:t>
      </w:r>
    </w:p>
    <w:bookmarkEnd w:id="67"/>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xml:space="preserve">
      Примечание: </w:t>
      </w:r>
    </w:p>
    <w:bookmarkEnd w:id="69"/>
    <w:bookmarkStart w:name="z81" w:id="70"/>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структуру администрации эвакоприемной комиссии, вносятся соответствующие изменения.</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84" w:id="71"/>
    <w:p>
      <w:pPr>
        <w:spacing w:after="0"/>
        <w:ind w:left="0"/>
        <w:jc w:val="left"/>
      </w:pPr>
      <w:r>
        <w:rPr>
          <w:rFonts w:ascii="Times New Roman"/>
          <w:b/>
          <w:i w:val="false"/>
          <w:color w:val="000000"/>
        </w:rPr>
        <w:t xml:space="preserve"> Типовая структура администрации сборного эвакуационного пункта</w:t>
      </w:r>
    </w:p>
    <w:bookmarkEnd w:id="71"/>
    <w:bookmarkStart w:name="z8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3"/>
    <w:p>
      <w:pPr>
        <w:spacing w:after="0"/>
        <w:ind w:left="0"/>
        <w:jc w:val="both"/>
      </w:pPr>
      <w:r>
        <w:rPr>
          <w:rFonts w:ascii="Times New Roman"/>
          <w:b w:val="false"/>
          <w:i w:val="false"/>
          <w:color w:val="000000"/>
          <w:sz w:val="28"/>
        </w:rPr>
        <w:t xml:space="preserve">
      Примечание: </w:t>
      </w:r>
    </w:p>
    <w:bookmarkEnd w:id="73"/>
    <w:bookmarkStart w:name="z87" w:id="74"/>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сборного эвакуационного пункта, вносятся соответствующие изменения.</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90" w:id="75"/>
    <w:p>
      <w:pPr>
        <w:spacing w:after="0"/>
        <w:ind w:left="0"/>
        <w:jc w:val="left"/>
      </w:pPr>
      <w:r>
        <w:rPr>
          <w:rFonts w:ascii="Times New Roman"/>
          <w:b/>
          <w:i w:val="false"/>
          <w:color w:val="000000"/>
        </w:rPr>
        <w:t xml:space="preserve"> Типовая структура администрации промежуточного пункта эвакуации</w:t>
      </w:r>
    </w:p>
    <w:bookmarkEnd w:id="75"/>
    <w:bookmarkStart w:name="z9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7"/>
    <w:p>
      <w:pPr>
        <w:spacing w:after="0"/>
        <w:ind w:left="0"/>
        <w:jc w:val="both"/>
      </w:pPr>
      <w:r>
        <w:rPr>
          <w:rFonts w:ascii="Times New Roman"/>
          <w:b w:val="false"/>
          <w:i w:val="false"/>
          <w:color w:val="000000"/>
          <w:sz w:val="28"/>
        </w:rPr>
        <w:t xml:space="preserve">
      Примечание: </w:t>
      </w:r>
    </w:p>
    <w:bookmarkEnd w:id="77"/>
    <w:bookmarkStart w:name="z93" w:id="78"/>
    <w:p>
      <w:pPr>
        <w:spacing w:after="0"/>
        <w:ind w:left="0"/>
        <w:jc w:val="both"/>
      </w:pPr>
      <w:r>
        <w:rPr>
          <w:rFonts w:ascii="Times New Roman"/>
          <w:b w:val="false"/>
          <w:i w:val="false"/>
          <w:color w:val="000000"/>
          <w:sz w:val="28"/>
        </w:rPr>
        <w:t>
      При необходимости, с учетом количества эвакуируемого населения и объема мероприятий, связанных с его обеспечением в типовую структуру администрации промежуточного пункта эвакуации, вносятся соответствующие изменения.</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96" w:id="79"/>
    <w:p>
      <w:pPr>
        <w:spacing w:after="0"/>
        <w:ind w:left="0"/>
        <w:jc w:val="left"/>
      </w:pPr>
      <w:r>
        <w:rPr>
          <w:rFonts w:ascii="Times New Roman"/>
          <w:b/>
          <w:i w:val="false"/>
          <w:color w:val="000000"/>
        </w:rPr>
        <w:t xml:space="preserve"> Типовая структура администрации приемного эвакуационного пункта</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4549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xml:space="preserve">
      Примечание: </w:t>
      </w:r>
    </w:p>
    <w:bookmarkEnd w:id="81"/>
    <w:bookmarkStart w:name="z99" w:id="82"/>
    <w:p>
      <w:pPr>
        <w:spacing w:after="0"/>
        <w:ind w:left="0"/>
        <w:jc w:val="both"/>
      </w:pPr>
      <w:r>
        <w:rPr>
          <w:rFonts w:ascii="Times New Roman"/>
          <w:b w:val="false"/>
          <w:i w:val="false"/>
          <w:color w:val="000000"/>
          <w:sz w:val="28"/>
        </w:rPr>
        <w:t>
      При необходимости, с учетом количества прибывающего населения и объема мероприятий, связанных с его обеспечением в типовую структуру администрации приемного эвакуационного пункта, вносятся соответствующие изменения.</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ведения мероприятий</w:t>
            </w:r>
            <w:r>
              <w:br/>
            </w:r>
            <w:r>
              <w:rPr>
                <w:rFonts w:ascii="Times New Roman"/>
                <w:b w:val="false"/>
                <w:i w:val="false"/>
                <w:color w:val="000000"/>
                <w:sz w:val="20"/>
              </w:rPr>
              <w:t>гражданской обороны</w:t>
            </w:r>
          </w:p>
        </w:tc>
      </w:tr>
    </w:tbl>
    <w:bookmarkStart w:name="z102" w:id="83"/>
    <w:p>
      <w:pPr>
        <w:spacing w:after="0"/>
        <w:ind w:left="0"/>
        <w:jc w:val="left"/>
      </w:pPr>
      <w:r>
        <w:rPr>
          <w:rFonts w:ascii="Times New Roman"/>
          <w:b/>
          <w:i w:val="false"/>
          <w:color w:val="000000"/>
        </w:rPr>
        <w:t xml:space="preserve"> Типовая структура администрации пункта приема пострадавшего населения</w:t>
      </w:r>
    </w:p>
    <w:bookmarkEnd w:id="83"/>
    <w:bookmarkStart w:name="z10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85"/>
    <w:p>
      <w:pPr>
        <w:spacing w:after="0"/>
        <w:ind w:left="0"/>
        <w:jc w:val="both"/>
      </w:pPr>
      <w:r>
        <w:rPr>
          <w:rFonts w:ascii="Times New Roman"/>
          <w:b w:val="false"/>
          <w:i w:val="false"/>
          <w:color w:val="000000"/>
          <w:sz w:val="28"/>
        </w:rPr>
        <w:t xml:space="preserve">
      Примечание: </w:t>
      </w:r>
    </w:p>
    <w:bookmarkEnd w:id="85"/>
    <w:bookmarkStart w:name="z105" w:id="86"/>
    <w:p>
      <w:pPr>
        <w:spacing w:after="0"/>
        <w:ind w:left="0"/>
        <w:jc w:val="both"/>
      </w:pPr>
      <w:r>
        <w:rPr>
          <w:rFonts w:ascii="Times New Roman"/>
          <w:b w:val="false"/>
          <w:i w:val="false"/>
          <w:color w:val="000000"/>
          <w:sz w:val="28"/>
        </w:rPr>
        <w:t>
      При необходимости, с учетом количества пострадавшего населения и объема мероприятий, связанных с его обеспечением в типовую структуру администрации пункта приема пострадавшего населения, вносятся соответствующие изменения.</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