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ae7f" w14:textId="96ca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мая 2019 года № 205. Зарегистрирован в Министерстве юстиции Республики Казахстан 21 мая 2019 года № 18705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за № 8170, опубликован 23 февраля 2013 года в газете "Казахстанская правда" № 69-70 (27343-27344)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(обновленного содержания)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(обновленного содержания)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(обновленного содержания)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основного среднего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основного среднего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основного среднего образования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(обновленного содержания)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(обновленного содержания)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(обновленного содержания)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(обновленного содержания)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(обновленного содержания)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(обновленного содержания)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 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119 к настоящему приказу;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приложению 120 к настоящему приказу;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121 к настоящему приказу;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122 к настоящему приказу;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123 к настоящему приказу;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 согласно приложению 124 к настоящему приказу.";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119, 120, 121, 122, 123 и 124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2019 года для 10 классов, с 1 сентября 2020 года для 11 классов и подлежит официальному опубликованию.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казахским языком обучения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казахским языком обучения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русским языком обучения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русским языком обучения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уйгурским, узбекским, таджикским языками обучения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уйгурским, узбекским, таджикским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