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905b" w14:textId="0d89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27 мая 2019 года № 211. Зарегистрирован в Министерстве юстиции Республики Казахстан 28 мая 2019 года № 18742.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 (зарегистрирован в Реестре государственной регистрации нормативных правовых актов № 11223, опубликован 2 июля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стоимости удобрений (за исключением органических)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4"/>
    <w:bookmarkStart w:name="z10" w:id="5"/>
    <w:p>
      <w:pPr>
        <w:spacing w:after="0"/>
        <w:ind w:left="0"/>
        <w:jc w:val="both"/>
      </w:pPr>
      <w:r>
        <w:rPr>
          <w:rFonts w:ascii="Times New Roman"/>
          <w:b w:val="false"/>
          <w:i w:val="false"/>
          <w:color w:val="000000"/>
          <w:sz w:val="28"/>
        </w:rPr>
        <w:t>
      2) поставщик услуг – лицо, обеспечивающее доступ к информационной системе субсидирования и ее сопровождение, которое определяется Управлением сельского хозяйства местного исполнительного органа области (далее – управление области), города республиканского значения или Управлением по инвестициям и развитию предпринимательства столицы (далее – управление города) в соответствии с законодательством о государственных закупках;</w:t>
      </w:r>
    </w:p>
    <w:bookmarkEnd w:id="5"/>
    <w:bookmarkStart w:name="z11" w:id="6"/>
    <w:p>
      <w:pPr>
        <w:spacing w:after="0"/>
        <w:ind w:left="0"/>
        <w:jc w:val="both"/>
      </w:pPr>
      <w:r>
        <w:rPr>
          <w:rFonts w:ascii="Times New Roman"/>
          <w:b w:val="false"/>
          <w:i w:val="false"/>
          <w:color w:val="000000"/>
          <w:sz w:val="28"/>
        </w:rPr>
        <w:t>
      3)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6"/>
    <w:bookmarkStart w:name="z12" w:id="7"/>
    <w:p>
      <w:pPr>
        <w:spacing w:after="0"/>
        <w:ind w:left="0"/>
        <w:jc w:val="both"/>
      </w:pPr>
      <w:r>
        <w:rPr>
          <w:rFonts w:ascii="Times New Roman"/>
          <w:b w:val="false"/>
          <w:i w:val="false"/>
          <w:color w:val="000000"/>
          <w:sz w:val="28"/>
        </w:rPr>
        <w:t>
      4) заявка – электронная заявка на получение сельскохозяйственным товаропроизводителем (далее – сельхозтоваропроизводитель) или сельскохозяйственным кооперативом (далее – сельхозкооператив) субсидий за приобретенные удобрения по полной стоимости;</w:t>
      </w:r>
    </w:p>
    <w:bookmarkEnd w:id="7"/>
    <w:bookmarkStart w:name="z13" w:id="8"/>
    <w:p>
      <w:pPr>
        <w:spacing w:after="0"/>
        <w:ind w:left="0"/>
        <w:jc w:val="both"/>
      </w:pPr>
      <w:r>
        <w:rPr>
          <w:rFonts w:ascii="Times New Roman"/>
          <w:b w:val="false"/>
          <w:i w:val="false"/>
          <w:color w:val="000000"/>
          <w:sz w:val="28"/>
        </w:rPr>
        <w:t>
      5) переводная заявка – электронная заявка на получение субсидий производителем удобрений за приобретаемые сельхозтоваропроизводителем (сельхозкооперативом) удобрения по удешевленной стоимости;</w:t>
      </w:r>
    </w:p>
    <w:bookmarkEnd w:id="8"/>
    <w:bookmarkStart w:name="z14" w:id="9"/>
    <w:p>
      <w:pPr>
        <w:spacing w:after="0"/>
        <w:ind w:left="0"/>
        <w:jc w:val="both"/>
      </w:pPr>
      <w:r>
        <w:rPr>
          <w:rFonts w:ascii="Times New Roman"/>
          <w:b w:val="false"/>
          <w:i w:val="false"/>
          <w:color w:val="000000"/>
          <w:sz w:val="28"/>
        </w:rPr>
        <w:t>
      6)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9"/>
    <w:bookmarkStart w:name="z15" w:id="10"/>
    <w:p>
      <w:pPr>
        <w:spacing w:after="0"/>
        <w:ind w:left="0"/>
        <w:jc w:val="both"/>
      </w:pPr>
      <w:r>
        <w:rPr>
          <w:rFonts w:ascii="Times New Roman"/>
          <w:b w:val="false"/>
          <w:i w:val="false"/>
          <w:color w:val="000000"/>
          <w:sz w:val="28"/>
        </w:rPr>
        <w:t>
      7)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10"/>
    <w:bookmarkStart w:name="z16" w:id="11"/>
    <w:p>
      <w:pPr>
        <w:spacing w:after="0"/>
        <w:ind w:left="0"/>
        <w:jc w:val="both"/>
      </w:pPr>
      <w:r>
        <w:rPr>
          <w:rFonts w:ascii="Times New Roman"/>
          <w:b w:val="false"/>
          <w:i w:val="false"/>
          <w:color w:val="000000"/>
          <w:sz w:val="28"/>
        </w:rPr>
        <w:t>
      8)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данных со спутников дистанционного зондирования земли;</w:t>
      </w:r>
    </w:p>
    <w:bookmarkEnd w:id="11"/>
    <w:bookmarkStart w:name="z17" w:id="12"/>
    <w:p>
      <w:pPr>
        <w:spacing w:after="0"/>
        <w:ind w:left="0"/>
        <w:jc w:val="both"/>
      </w:pPr>
      <w:r>
        <w:rPr>
          <w:rFonts w:ascii="Times New Roman"/>
          <w:b w:val="false"/>
          <w:i w:val="false"/>
          <w:color w:val="000000"/>
          <w:sz w:val="28"/>
        </w:rPr>
        <w:t>
      9) поставщик удобрений – физическое или юридическое лицо, осуществляющее реализацию удобрений (за исключением органических) иностранного производства, зарегистрировавшее их;</w:t>
      </w:r>
    </w:p>
    <w:bookmarkEnd w:id="12"/>
    <w:bookmarkStart w:name="z18" w:id="13"/>
    <w:p>
      <w:pPr>
        <w:spacing w:after="0"/>
        <w:ind w:left="0"/>
        <w:jc w:val="both"/>
      </w:pPr>
      <w:r>
        <w:rPr>
          <w:rFonts w:ascii="Times New Roman"/>
          <w:b w:val="false"/>
          <w:i w:val="false"/>
          <w:color w:val="000000"/>
          <w:sz w:val="28"/>
        </w:rPr>
        <w:t>
      10) продавец удобрений – производитель удобрений, поставщик удобрений или иностранный производитель удобрений;</w:t>
      </w:r>
    </w:p>
    <w:bookmarkEnd w:id="13"/>
    <w:bookmarkStart w:name="z19" w:id="14"/>
    <w:p>
      <w:pPr>
        <w:spacing w:after="0"/>
        <w:ind w:left="0"/>
        <w:jc w:val="both"/>
      </w:pPr>
      <w:r>
        <w:rPr>
          <w:rFonts w:ascii="Times New Roman"/>
          <w:b w:val="false"/>
          <w:i w:val="false"/>
          <w:color w:val="000000"/>
          <w:sz w:val="28"/>
        </w:rPr>
        <w:t>
      11) минимальная рыночная стоимость удобрений – наименьшая рыночная стоимость удобрений, сложившаяся по соответствующим видам удобрений на соответствующий год (без учета налога на добавленную стоимость), определяемая местным исполнительным органом области, города республиканского значения, столицы путем анализа цен на удобрения для установления норм субсидий на них;</w:t>
      </w:r>
    </w:p>
    <w:bookmarkEnd w:id="14"/>
    <w:bookmarkStart w:name="z20" w:id="15"/>
    <w:p>
      <w:pPr>
        <w:spacing w:after="0"/>
        <w:ind w:left="0"/>
        <w:jc w:val="both"/>
      </w:pPr>
      <w:r>
        <w:rPr>
          <w:rFonts w:ascii="Times New Roman"/>
          <w:b w:val="false"/>
          <w:i w:val="false"/>
          <w:color w:val="000000"/>
          <w:sz w:val="28"/>
        </w:rPr>
        <w:t>
      12)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15"/>
    <w:bookmarkStart w:name="z21" w:id="16"/>
    <w:p>
      <w:pPr>
        <w:spacing w:after="0"/>
        <w:ind w:left="0"/>
        <w:jc w:val="both"/>
      </w:pPr>
      <w:r>
        <w:rPr>
          <w:rFonts w:ascii="Times New Roman"/>
          <w:b w:val="false"/>
          <w:i w:val="false"/>
          <w:color w:val="000000"/>
          <w:sz w:val="28"/>
        </w:rPr>
        <w:t>
      13) электронная агрохимическая картограмма – картографическая информация, показывающая в цветовом выражении степень обеспеченности почвы поля усвояемыми для растений питательными элементами - гумуса, макро- и микроэлементов, выданная республиканским государственным учреждением "Республиканский научно-методический центр агрохимической службы Министерства сельского хозяйства Республики Казахстан" или специализированной (аккредитованной в соответствии с законодательством Республики Казахстан) лабораторией по агрохимическому анализу почв;</w:t>
      </w:r>
    </w:p>
    <w:bookmarkEnd w:id="16"/>
    <w:bookmarkStart w:name="z22" w:id="17"/>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
    <w:bookmarkStart w:name="z23" w:id="18"/>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"4. Перечень субсидируемых видов удобрений и нормы субсидий на 1 тонну (килограмм, литр) удобрений, приобретенных у продавца удобрений (далее – перечень удобрений и нормы субсидий), а также объемы бюджетных средств на субсидирование удобрений (за исключением органических) (далее – объемы субсидий) предоставляются сопроводительным письмом за подписью акима области, города республиканского значения, столицы, в случае его отсутствия лицом, исполняющим его обязанности на одобрение в Министерство не позднее 15 ноября соответствующего года.</w:t>
      </w:r>
    </w:p>
    <w:bookmarkEnd w:id="19"/>
    <w:bookmarkStart w:name="z26" w:id="20"/>
    <w:p>
      <w:pPr>
        <w:spacing w:after="0"/>
        <w:ind w:left="0"/>
        <w:jc w:val="both"/>
      </w:pPr>
      <w:r>
        <w:rPr>
          <w:rFonts w:ascii="Times New Roman"/>
          <w:b w:val="false"/>
          <w:i w:val="false"/>
          <w:color w:val="000000"/>
          <w:sz w:val="28"/>
        </w:rPr>
        <w:t>
      При этом документы, подтверждающие сложившиеся рыночные цены на соответствующие виды удобрений, а также расчеты по объемам подлежащим субсидированию видов удобрений предоставляются местным исполнительным органом области, города республиканского значения, столицы в Министерство не позднее 1 ноября предыдущего года на последующий год.</w:t>
      </w:r>
    </w:p>
    <w:bookmarkEnd w:id="20"/>
    <w:bookmarkStart w:name="z27" w:id="21"/>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перечень удобрений и нормы субсидий, а также объемы субсидий. В случае отрицательного решения Министерство возвращает перечень удобрений и нормы субсидий, а также объемы субсидий письмом с мотивированным отказом в одобрении. При этом доработанный перечень удобрений и нормы субсидий, а также объемы субсидий направляются на повторное рассмотрение в Министерство в течение пяти рабочих дней.</w:t>
      </w:r>
    </w:p>
    <w:bookmarkEnd w:id="21"/>
    <w:bookmarkStart w:name="z28" w:id="22"/>
    <w:p>
      <w:pPr>
        <w:spacing w:after="0"/>
        <w:ind w:left="0"/>
        <w:jc w:val="both"/>
      </w:pPr>
      <w:r>
        <w:rPr>
          <w:rFonts w:ascii="Times New Roman"/>
          <w:b w:val="false"/>
          <w:i w:val="false"/>
          <w:color w:val="000000"/>
          <w:sz w:val="28"/>
        </w:rPr>
        <w:t>
      После одобрения Министерством перечень удобрений и нормы субсидий, а также объемы субсидий утверждаются постановлением местного исполнительного органа области, города республиканского значения, столицы ежегодно. При этом нормы субсидий устанавливаются без учета налога на добавленную стоимость.</w:t>
      </w:r>
    </w:p>
    <w:bookmarkEnd w:id="22"/>
    <w:bookmarkStart w:name="z29" w:id="23"/>
    <w:p>
      <w:pPr>
        <w:spacing w:after="0"/>
        <w:ind w:left="0"/>
        <w:jc w:val="both"/>
      </w:pPr>
      <w:r>
        <w:rPr>
          <w:rFonts w:ascii="Times New Roman"/>
          <w:b w:val="false"/>
          <w:i w:val="false"/>
          <w:color w:val="000000"/>
          <w:sz w:val="28"/>
        </w:rPr>
        <w:t>
      В случае изменения объемов субсидий управление области (управление города) перераспределяет объемы субсидий в пределах бюджетных средств, предусмотренных на сельское хозяйство.</w:t>
      </w:r>
    </w:p>
    <w:bookmarkEnd w:id="23"/>
    <w:bookmarkStart w:name="z30" w:id="24"/>
    <w:p>
      <w:pPr>
        <w:spacing w:after="0"/>
        <w:ind w:left="0"/>
        <w:jc w:val="both"/>
      </w:pPr>
      <w:r>
        <w:rPr>
          <w:rFonts w:ascii="Times New Roman"/>
          <w:b w:val="false"/>
          <w:i w:val="false"/>
          <w:color w:val="000000"/>
          <w:sz w:val="28"/>
        </w:rPr>
        <w:t>
      Внесение изменений и (или) дополнений в перечень удобрений и нормы субсидий, а также объемы субсидий осуществляется в порядке, предусмотренном частями первой – четвертой настоящего пункта.</w:t>
      </w:r>
    </w:p>
    <w:bookmarkEnd w:id="24"/>
    <w:bookmarkStart w:name="z31" w:id="25"/>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размещает на соответствующем интернет-ресурсе и в информационной системе субсидирования перечень удобрений и нормы субсидий, а также объемы субсидий в течение трех рабочих дней после государственной регистрации.";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"7. Субсидии выплачиваются при соблюдении следующих условий:</w:t>
      </w:r>
    </w:p>
    <w:bookmarkEnd w:id="26"/>
    <w:bookmarkStart w:name="z34" w:id="27"/>
    <w:p>
      <w:pPr>
        <w:spacing w:after="0"/>
        <w:ind w:left="0"/>
        <w:jc w:val="both"/>
      </w:pPr>
      <w:r>
        <w:rPr>
          <w:rFonts w:ascii="Times New Roman"/>
          <w:b w:val="false"/>
          <w:i w:val="false"/>
          <w:color w:val="000000"/>
          <w:sz w:val="28"/>
        </w:rPr>
        <w:t xml:space="preserve">
      1) подачи сельхозтоваропроизводителем или сельхозкооперативом заявки в электронном виде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7"/>
    <w:bookmarkStart w:name="z35" w:id="28"/>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переводную заявку в электронном виде об оплате причитающихся ему субсидий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8"/>
    <w:bookmarkStart w:name="z36" w:id="29"/>
    <w:p>
      <w:pPr>
        <w:spacing w:after="0"/>
        <w:ind w:left="0"/>
        <w:jc w:val="both"/>
      </w:pPr>
      <w:r>
        <w:rPr>
          <w:rFonts w:ascii="Times New Roman"/>
          <w:b w:val="false"/>
          <w:i w:val="false"/>
          <w:color w:val="000000"/>
          <w:sz w:val="28"/>
        </w:rPr>
        <w:t>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пунктом 16 настоящих Правил.</w:t>
      </w:r>
    </w:p>
    <w:bookmarkEnd w:id="29"/>
    <w:bookmarkStart w:name="z37" w:id="30"/>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30"/>
    <w:bookmarkStart w:name="z38" w:id="31"/>
    <w:p>
      <w:pPr>
        <w:spacing w:after="0"/>
        <w:ind w:left="0"/>
        <w:jc w:val="both"/>
      </w:pPr>
      <w:r>
        <w:rPr>
          <w:rFonts w:ascii="Times New Roman"/>
          <w:b w:val="false"/>
          <w:i w:val="false"/>
          <w:color w:val="000000"/>
          <w:sz w:val="28"/>
        </w:rPr>
        <w:t>
      При этом в информационной системе субсидирования формируется список сельхозтоваропроизводителей (сельхозкооперативов), которым не реализованы удобрения в сроки, установленные частями четвертой и пятой подпункта 1) пункта 7 настоящих Правил;</w:t>
      </w:r>
    </w:p>
    <w:bookmarkEnd w:id="31"/>
    <w:bookmarkStart w:name="z39" w:id="32"/>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2) регистрации поданной сельхозтоваропроизводителем (сельхозкооперативом) заявки (переводной заявки);</w:t>
      </w:r>
    </w:p>
    <w:bookmarkEnd w:id="33"/>
    <w:bookmarkStart w:name="z41" w:id="34"/>
    <w:p>
      <w:pPr>
        <w:spacing w:after="0"/>
        <w:ind w:left="0"/>
        <w:jc w:val="both"/>
      </w:pPr>
      <w:r>
        <w:rPr>
          <w:rFonts w:ascii="Times New Roman"/>
          <w:b w:val="false"/>
          <w:i w:val="false"/>
          <w:color w:val="000000"/>
          <w:sz w:val="28"/>
        </w:rPr>
        <w:t>
      3) наличия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необходимо наличие лицевого счета в информационной системе субсидирования у производителя удобрений.</w:t>
      </w:r>
    </w:p>
    <w:bookmarkEnd w:id="34"/>
    <w:bookmarkStart w:name="z42" w:id="35"/>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сельхозтоваропроизводителю (сельхозкооперативу)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5"/>
    <w:bookmarkStart w:name="z43" w:id="36"/>
    <w:p>
      <w:pPr>
        <w:spacing w:after="0"/>
        <w:ind w:left="0"/>
        <w:jc w:val="both"/>
      </w:pPr>
      <w:r>
        <w:rPr>
          <w:rFonts w:ascii="Times New Roman"/>
          <w:b w:val="false"/>
          <w:i w:val="false"/>
          <w:color w:val="000000"/>
          <w:sz w:val="28"/>
        </w:rPr>
        <w:t>
      4) подтверждения затрат за приобретенные сельхозтоваропроизводителем (сельхозкооперативом) удобрения в результате информационного взаимодействия информационной системы субсидирования и системы по приему и обработке электронных счетов-фактур (далее – ИС ЭСФ).</w:t>
      </w:r>
    </w:p>
    <w:bookmarkEnd w:id="36"/>
    <w:bookmarkStart w:name="z44" w:id="37"/>
    <w:p>
      <w:pPr>
        <w:spacing w:after="0"/>
        <w:ind w:left="0"/>
        <w:jc w:val="both"/>
      </w:pPr>
      <w:r>
        <w:rPr>
          <w:rFonts w:ascii="Times New Roman"/>
          <w:b w:val="false"/>
          <w:i w:val="false"/>
          <w:color w:val="000000"/>
          <w:sz w:val="28"/>
        </w:rPr>
        <w:t>
      При этом, электронный счет-фактура запрашивается из ИС ЭСФ в режиме "запрос – ответ" при регистрации заявки в информационной системе субсидирования (запрошенный электронный счет-фактура автоматически блокируется в ИС ЭСФ, с направлением из ИС ЭСФ продавцу удобрений и сельхозтоваропроизводителю (сельхозкооперативу) уведомления о блокировке и использовании электронного счета-фактуры для получения мер государственной поддержки).</w:t>
      </w:r>
    </w:p>
    <w:bookmarkEnd w:id="37"/>
    <w:bookmarkStart w:name="z45" w:id="38"/>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38"/>
    <w:bookmarkStart w:name="z46" w:id="39"/>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сведениями документа, выданного органом государственных доходов, подтверждающего, что товар ввезен из стран Евразийского экономического союза;</w:t>
      </w:r>
    </w:p>
    <w:bookmarkEnd w:id="39"/>
    <w:bookmarkStart w:name="z47" w:id="40"/>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0"/>
    <w:bookmarkStart w:name="z48" w:id="41"/>
    <w:p>
      <w:pPr>
        <w:spacing w:after="0"/>
        <w:ind w:left="0"/>
        <w:jc w:val="both"/>
      </w:pPr>
      <w:r>
        <w:rPr>
          <w:rFonts w:ascii="Times New Roman"/>
          <w:b w:val="false"/>
          <w:i w:val="false"/>
          <w:color w:val="000000"/>
          <w:sz w:val="28"/>
        </w:rPr>
        <w:t>
      В случае подачи заявки (переводной заявки) сельхозтоваропроизводителем, созданным в форме крестьянского или фермерского хозяйства, за приобретенные удобрения своими членами, сведения о которых подтверждаются в результате информационного взаимодействия информационной системы субсидирования с Интегрированной налоговой информационной системой Республики Казахстан. При этом получателями субсидий будут являться члены крестьянского или фермерского хозяйства.</w:t>
      </w:r>
    </w:p>
    <w:bookmarkEnd w:id="41"/>
    <w:bookmarkStart w:name="z49" w:id="42"/>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42"/>
    <w:bookmarkStart w:name="z50" w:id="43"/>
    <w:p>
      <w:pPr>
        <w:spacing w:after="0"/>
        <w:ind w:left="0"/>
        <w:jc w:val="both"/>
      </w:pPr>
      <w:r>
        <w:rPr>
          <w:rFonts w:ascii="Times New Roman"/>
          <w:b w:val="false"/>
          <w:i w:val="false"/>
          <w:color w:val="000000"/>
          <w:sz w:val="28"/>
        </w:rPr>
        <w:t>
      6) регистрации в информационной системе субсидирования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43"/>
    <w:bookmarkStart w:name="z51" w:id="44"/>
    <w:p>
      <w:pPr>
        <w:spacing w:after="0"/>
        <w:ind w:left="0"/>
        <w:jc w:val="both"/>
      </w:pPr>
      <w:r>
        <w:rPr>
          <w:rFonts w:ascii="Times New Roman"/>
          <w:b w:val="false"/>
          <w:i w:val="false"/>
          <w:color w:val="000000"/>
          <w:sz w:val="28"/>
        </w:rPr>
        <w:t>
      7) регистрации в информационной системе субсидирования электронной агрохимической картограммы на удобряемую площадь земельных участков сельскохозяйственного назначения, принадлежащих сельхозтоваропроизводителю на праве землепользования и (или) частной собственности, по не менее шести агрохимическим показателям (гумус, водородный показатель (рН) водной или солевой вытяжки, нитратный, легкогидролизуемый или щелочногидролизуемый азот, подвижные формы фосфора, калия и серы).</w:t>
      </w:r>
    </w:p>
    <w:bookmarkEnd w:id="44"/>
    <w:bookmarkStart w:name="z52" w:id="45"/>
    <w:p>
      <w:pPr>
        <w:spacing w:after="0"/>
        <w:ind w:left="0"/>
        <w:jc w:val="both"/>
      </w:pPr>
      <w:r>
        <w:rPr>
          <w:rFonts w:ascii="Times New Roman"/>
          <w:b w:val="false"/>
          <w:i w:val="false"/>
          <w:color w:val="000000"/>
          <w:sz w:val="28"/>
        </w:rPr>
        <w:t>
      При этом при возделывании сельскохозяйственных культур в защищенном грунте регистрация электронной агрохимической картограммы не требуется.";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4" w:id="46"/>
    <w:p>
      <w:pPr>
        <w:spacing w:after="0"/>
        <w:ind w:left="0"/>
        <w:jc w:val="both"/>
      </w:pPr>
      <w:r>
        <w:rPr>
          <w:rFonts w:ascii="Times New Roman"/>
          <w:b w:val="false"/>
          <w:i w:val="false"/>
          <w:color w:val="000000"/>
          <w:sz w:val="28"/>
        </w:rPr>
        <w:t>
      "11. В стоимость реализуемых продавцом удобрений входят расходы по упаковке, маркировке, налог на добавленную стоимость, транспортные расходы до пункта назначения (отпуска) в соответствующем регионе республики.";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исключить.</w:t>
      </w:r>
    </w:p>
    <w:bookmarkStart w:name="z56" w:id="47"/>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47"/>
    <w:bookmarkStart w:name="z57"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58" w:id="4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9"/>
    <w:bookmarkStart w:name="z59" w:id="50"/>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0"/>
    <w:bookmarkStart w:name="z60" w:id="51"/>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1"/>
    <w:bookmarkStart w:name="z61" w:id="52"/>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52"/>
    <w:bookmarkStart w:name="z62" w:id="5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3"/>
    <w:bookmarkStart w:name="z63" w:id="5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7) </w:t>
      </w:r>
      <w:r>
        <w:rPr>
          <w:rFonts w:ascii="Times New Roman"/>
          <w:b w:val="false"/>
          <w:i w:val="false"/>
          <w:color w:val="000000"/>
          <w:sz w:val="28"/>
        </w:rPr>
        <w:t>пункта 7</w:t>
      </w:r>
      <w:r>
        <w:rPr>
          <w:rFonts w:ascii="Times New Roman"/>
          <w:b w:val="false"/>
          <w:i w:val="false"/>
          <w:color w:val="000000"/>
          <w:sz w:val="28"/>
        </w:rPr>
        <w:t xml:space="preserve"> Правил, который вводится в действие с 1 января 2021 года.</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65" w:id="5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индустрии и </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55"/>
    <w:bookmarkStart w:name="z66" w:id="5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56"/>
    <w:bookmarkStart w:name="z67" w:id="5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57"/>
    <w:bookmarkStart w:name="z68" w:id="5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оборонной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