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2d18" w14:textId="41f2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2019 года № 128. Зарегистрировано в Министерстве юстиции Республики Казахстан 31 июля 2019 года № 19137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Настоящее постановление вводится в действие с 01 июля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Республики Казахстан под № 17884, опубликовано 19 февраля 2019 года в газете "Казахстанская правда" № 33 (28910)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w:t>
      </w:r>
      <w:r>
        <w:rPr>
          <w:rFonts w:ascii="Times New Roman"/>
          <w:b w:val="false"/>
          <w:i w:val="false"/>
          <w:color w:val="000000"/>
          <w:sz w:val="28"/>
        </w:rPr>
        <w:t>об итогах погашения негосударственных облигаций, аннулирования выпуска негосударственных облигаций,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"10. При осуществлении эмитентом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является положительной величиной и не превышает:</w:t>
      </w:r>
    </w:p>
    <w:bookmarkEnd w:id="3"/>
    <w:bookmarkStart w:name="z11" w:id="4"/>
    <w:p>
      <w:pPr>
        <w:spacing w:after="0"/>
        <w:ind w:left="0"/>
        <w:jc w:val="both"/>
      </w:pPr>
      <w:r>
        <w:rPr>
          <w:rFonts w:ascii="Times New Roman"/>
          <w:b w:val="false"/>
          <w:i w:val="false"/>
          <w:color w:val="000000"/>
          <w:sz w:val="28"/>
        </w:rPr>
        <w:t>
      1) 7 (семи) - для эмитента, не являющегося банком или организацией, осуществляющей отдельные виды банковских операций, за исключением случая, предусмотренного подпунктом 2) настоящего пункта;</w:t>
      </w:r>
    </w:p>
    <w:bookmarkEnd w:id="4"/>
    <w:bookmarkStart w:name="z12" w:id="5"/>
    <w:p>
      <w:pPr>
        <w:spacing w:after="0"/>
        <w:ind w:left="0"/>
        <w:jc w:val="both"/>
      </w:pPr>
      <w:r>
        <w:rPr>
          <w:rFonts w:ascii="Times New Roman"/>
          <w:b w:val="false"/>
          <w:i w:val="false"/>
          <w:color w:val="000000"/>
          <w:sz w:val="28"/>
        </w:rPr>
        <w:t>
      2) 10 (десяти) - для эмитента при выпуске облигаций, проспектом выпуска которых предусмотрена возможность конвертирования данных облигаций в акции в случае дефолта по ним.</w:t>
      </w:r>
    </w:p>
    <w:bookmarkEnd w:id="5"/>
    <w:bookmarkStart w:name="z13" w:id="6"/>
    <w:p>
      <w:pPr>
        <w:spacing w:after="0"/>
        <w:ind w:left="0"/>
        <w:jc w:val="both"/>
      </w:pPr>
      <w:r>
        <w:rPr>
          <w:rFonts w:ascii="Times New Roman"/>
          <w:b w:val="false"/>
          <w:i w:val="false"/>
          <w:color w:val="000000"/>
          <w:sz w:val="28"/>
        </w:rPr>
        <w:t xml:space="preserve">
      При осуществлении организацией, специализирующейся на улучшении качества кредитных портфелей банков второго уровня,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организации, специализирующейся на улучшении качества кредитных портфелей банков второго уровня, по состоянию на конец последнего квартала перед подачей документов на государственную регистрацию выпуска облигаций (облигационной программы), и не превышает 10 (десяти).". </w:t>
      </w:r>
    </w:p>
    <w:bookmarkEnd w:id="6"/>
    <w:bookmarkStart w:name="z14" w:id="7"/>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
    <w:bookmarkStart w:name="z17"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8" w:id="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и 3) настоящего пункта и пунктом 3 настоящего постановления.</w:t>
      </w:r>
    </w:p>
    <w:bookmarkEnd w:id="11"/>
    <w:bookmarkStart w:name="z19" w:id="12"/>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2"/>
    <w:bookmarkStart w:name="z20" w:id="1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3"/>
    <w:bookmarkStart w:name="z21" w:id="14"/>
    <w:p>
      <w:pPr>
        <w:spacing w:after="0"/>
        <w:ind w:left="0"/>
        <w:jc w:val="both"/>
      </w:pPr>
      <w:r>
        <w:rPr>
          <w:rFonts w:ascii="Times New Roman"/>
          <w:b w:val="false"/>
          <w:i w:val="false"/>
          <w:color w:val="000000"/>
          <w:sz w:val="28"/>
        </w:rPr>
        <w:t>
      5. Настоящее постановление вводится в действие с 01 июля 2019 года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