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02a8" w14:textId="798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октября 2019 года № 752. Зарегистрирован в Министерстве юстиции Республики Казахстан 10 октября 2019 года № 19463. Утратил силу приказом Министра индустрии и инфраструктурного развития Республики Казахстан от 29 апреля 2020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2019 года № 752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утвержденным приказом Министра по инвестициям и развитию Республики Казахстан от 12 декабря 2017 года № 859 (зарегистрирован в Реестре государственной регистрации нормативных правовых актов Республики Казахстан за № 16265) (далее –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акционерным обществом "Фонд развития предпринимательства "Даму"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выписка из протокола заседания услугодателя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двадцати минут с момента поступления заявления от услугополучателя регистрирует его в журнале регистрации входящей корреспонденции, и передает его ответственному работнику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течение одного рабочего дня рассматривает заявление и проверяет полноту представленных услугополучателем документов;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одного рабочего дня проводит анализ проекта и согласование проекта, затем направляет заявление, пакет документов на рассмотрение соответствующему структурному подразделению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структурное подразделение услугодателя в течение двух рабочих дней осуществляет проверку на предмет соответствия проекта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утвержденным приказом Министра национальной экономики Республики Казахстан от 31 января 2017 года № 35 (зарегистрирован в Реестре государственной регистрации нормативных правовых актов Республики Казахстан за № 14765) и направляет пакет документов секретарю коллегиального органа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коллегиального органа услугодателя в течение одного рабочего дня формирует повестку, определяет дату и выносит проект на рассмотрение коллегиального органа услугодателя, который принимает решение о возможности (невозможности) субсидирования;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коллегиального органа услугодателя в течение одного рабочего дня формирует и подписывает протокол (выписку из протокола) заседания коллегиального органа услугодателя и посредством электронного документооборота направляет ответственному работнику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в течение трех рабочих дней направляет услугополучателю выписку из протокола решения коллегиального органа услугодателя о возможности (невозможности) субсидирования. В случае невозможности субсидирования, в сопроводительном письме указывается причина отклонения заявки.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пакета документов ответственным работником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ответственным работником анализа и согласования проекта, направление в структурное подразделение;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пакета документов структурным подразделением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проекта коллегиальным органом услугодателя и вынесение решения;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протокола и выписки из протокола решения коллегиального органа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услугополучателю выписки из протокола решения коллегиального органа услугодателя о возможности (невозможности) субсидирования.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коллегиального органа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двадцати минут с момента поступления заявления регистрирует его в журнале регистрации входящей корреспонденции, и передает его ответственному работнику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течение одного рабочего дня рассматривает заявление и проверяет полноту представленных услугополучателем документов,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одного рабочего дня проводит анализ и согласование проекта, и направляет заявление, пакет документов на рассмотрение соответствующему структурному подразделению услугодателя.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услугодателя в течение двух рабочих дней осуществляет проверку проекта;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коллегиального органа услугодателя в течение одного рабочего дня формирует повестку, определяет дату и выносит проект на рассмотрение коллегиального органа, который принимает решение о возможности(невозможности) субсидирования;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коллегиального органа услугодателя в течение одного рабочего дня подписывает протокол (выписку из протокола);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в течение трех рабочих дней направляет услугополучателю выписку из протокола решения коллегиального органа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процедур, взаимодействий структурных подразделений (работников)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"Субсидирования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6708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