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ff89" w14:textId="8faf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и формирования условных пенсионных обязательств, формирования и использования резервных фондов, методики расчета и структуры резервных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7 октября 2019 года № 166. Зарегистрировано в Министерстве юстиции Республики Казахстан 11 октября 2019 года № 19470. Утратило силу постановлением Правления Агентства Республики Казахстан по регулированию и развитию финансового рынка от 7 июня 2023 года № 52.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52</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и формирования условных пенсионных обязательств, формирования и использования резервных фондов, методику расчета и структуру резервных фондов.</w:t>
      </w:r>
    </w:p>
    <w:bookmarkEnd w:id="1"/>
    <w:bookmarkStart w:name="z7" w:id="2"/>
    <w:p>
      <w:pPr>
        <w:spacing w:after="0"/>
        <w:ind w:left="0"/>
        <w:jc w:val="both"/>
      </w:pPr>
      <w:r>
        <w:rPr>
          <w:rFonts w:ascii="Times New Roman"/>
          <w:b w:val="false"/>
          <w:i w:val="false"/>
          <w:color w:val="000000"/>
          <w:sz w:val="28"/>
        </w:rPr>
        <w:t>
      2. Департаменту развития небанковских организаций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1" w:id="6"/>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2019 года № 166</w:t>
            </w:r>
          </w:p>
        </w:tc>
      </w:tr>
    </w:tbl>
    <w:bookmarkStart w:name="z16" w:id="9"/>
    <w:p>
      <w:pPr>
        <w:spacing w:after="0"/>
        <w:ind w:left="0"/>
        <w:jc w:val="left"/>
      </w:pPr>
      <w:r>
        <w:rPr>
          <w:rFonts w:ascii="Times New Roman"/>
          <w:b/>
          <w:i w:val="false"/>
          <w:color w:val="000000"/>
        </w:rPr>
        <w:t xml:space="preserve"> Правила учета и формирования условных пенсионных обязательств, формирования и использования резервных фондов, методика расчета и структура резервных фондов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учета и формирования условных пенсионных обязательств, формирования и использования резервных фондов, методика расчета и структура резервных фондов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(далее – Закон) и определяют порядок ведения учета и формирования условных пенсионных обязательств на условных пенсионных счетах физических лиц в едином накопительном пенсионном фонде (далее – ЕНПФ), формирования и использования резервных фондов, а также методику расчета и структуру резервных фондов.</w:t>
      </w:r>
    </w:p>
    <w:bookmarkEnd w:id="11"/>
    <w:bookmarkStart w:name="z19" w:id="12"/>
    <w:p>
      <w:pPr>
        <w:spacing w:after="0"/>
        <w:ind w:left="0"/>
        <w:jc w:val="both"/>
      </w:pPr>
      <w:r>
        <w:rPr>
          <w:rFonts w:ascii="Times New Roman"/>
          <w:b w:val="false"/>
          <w:i w:val="false"/>
          <w:color w:val="000000"/>
          <w:sz w:val="28"/>
        </w:rPr>
        <w:t>
      2. Для целей настоящих Правил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1) дата расчета – дата, на которую производится формирование условных пенсионных обязательств;</w:t>
      </w:r>
    </w:p>
    <w:bookmarkEnd w:id="13"/>
    <w:bookmarkStart w:name="z21" w:id="14"/>
    <w:p>
      <w:pPr>
        <w:spacing w:after="0"/>
        <w:ind w:left="0"/>
        <w:jc w:val="both"/>
      </w:pPr>
      <w:r>
        <w:rPr>
          <w:rFonts w:ascii="Times New Roman"/>
          <w:b w:val="false"/>
          <w:i w:val="false"/>
          <w:color w:val="000000"/>
          <w:sz w:val="28"/>
        </w:rPr>
        <w:t>
      2) возрастная когорта – группа людей, объединенная одним календарным годом рождения;</w:t>
      </w:r>
    </w:p>
    <w:bookmarkEnd w:id="14"/>
    <w:bookmarkStart w:name="z22" w:id="15"/>
    <w:p>
      <w:pPr>
        <w:spacing w:after="0"/>
        <w:ind w:left="0"/>
        <w:jc w:val="both"/>
      </w:pPr>
      <w:r>
        <w:rPr>
          <w:rFonts w:ascii="Times New Roman"/>
          <w:b w:val="false"/>
          <w:i w:val="false"/>
          <w:color w:val="000000"/>
          <w:sz w:val="28"/>
        </w:rPr>
        <w:t>
      3) приведенная ожидаемая стоимость – ожидаемая (вероятная) стоимость пенсионных выплат, рассчитанная (дисконтированная) с учетом процентной ставки и периода времени между датой расчета и датой осуществления пенсионной выплаты получателю пенсионных выплат с использованием таблиц, содержащих вероятности наступления смерти;</w:t>
      </w:r>
    </w:p>
    <w:bookmarkEnd w:id="15"/>
    <w:bookmarkStart w:name="z23" w:id="16"/>
    <w:p>
      <w:pPr>
        <w:spacing w:after="0"/>
        <w:ind w:left="0"/>
        <w:jc w:val="both"/>
      </w:pPr>
      <w:r>
        <w:rPr>
          <w:rFonts w:ascii="Times New Roman"/>
          <w:b w:val="false"/>
          <w:i w:val="false"/>
          <w:color w:val="000000"/>
          <w:sz w:val="28"/>
        </w:rPr>
        <w:t>
      4) резервный базис – совокупность значений параметров, состоящих из эффективной годовой процентной ставки, таблицы смертности и ставки индексации пенсионных выплат, и влияющих на величину условных пенсионных обязательств;</w:t>
      </w:r>
    </w:p>
    <w:bookmarkEnd w:id="16"/>
    <w:bookmarkStart w:name="z24" w:id="17"/>
    <w:p>
      <w:pPr>
        <w:spacing w:after="0"/>
        <w:ind w:left="0"/>
        <w:jc w:val="both"/>
      </w:pPr>
      <w:r>
        <w:rPr>
          <w:rFonts w:ascii="Times New Roman"/>
          <w:b w:val="false"/>
          <w:i w:val="false"/>
          <w:color w:val="000000"/>
          <w:sz w:val="28"/>
        </w:rPr>
        <w:t>
      5) тарифный базис – совокупность значений параметров, состоящих из эффективной годовой процентной ставки, таблицы смертности и ставки индексации пенсионных выплат, и влияющих на величину пенсионной выплаты.</w:t>
      </w:r>
    </w:p>
    <w:bookmarkEnd w:id="17"/>
    <w:bookmarkStart w:name="z25" w:id="18"/>
    <w:p>
      <w:pPr>
        <w:spacing w:after="0"/>
        <w:ind w:left="0"/>
        <w:jc w:val="left"/>
      </w:pPr>
      <w:r>
        <w:rPr>
          <w:rFonts w:ascii="Times New Roman"/>
          <w:b/>
          <w:i w:val="false"/>
          <w:color w:val="000000"/>
        </w:rPr>
        <w:t xml:space="preserve"> Глава 2. Учет и формирование условных пенсионных обязательств</w:t>
      </w:r>
    </w:p>
    <w:bookmarkEnd w:id="18"/>
    <w:bookmarkStart w:name="z26" w:id="19"/>
    <w:p>
      <w:pPr>
        <w:spacing w:after="0"/>
        <w:ind w:left="0"/>
        <w:jc w:val="both"/>
      </w:pPr>
      <w:r>
        <w:rPr>
          <w:rFonts w:ascii="Times New Roman"/>
          <w:b w:val="false"/>
          <w:i w:val="false"/>
          <w:color w:val="000000"/>
          <w:sz w:val="28"/>
        </w:rPr>
        <w:t>
      3. Учет и формирование условных пенсионных обязательств включают в себя открытие условного пенсионного счета физическому лицу, учет сведений о поступивших обязательных пенсионных</w:t>
      </w:r>
      <w:r>
        <w:rPr>
          <w:rFonts w:ascii="Times New Roman"/>
          <w:b w:val="false"/>
          <w:i w:val="false"/>
          <w:color w:val="000000"/>
          <w:sz w:val="28"/>
        </w:rPr>
        <w:t xml:space="preserve"> взносах </w:t>
      </w:r>
      <w:r>
        <w:rPr>
          <w:rFonts w:ascii="Times New Roman"/>
          <w:b w:val="false"/>
          <w:i w:val="false"/>
          <w:color w:val="000000"/>
          <w:sz w:val="28"/>
        </w:rPr>
        <w:t>работодателя и иных поступлениях в соответствии с законодательством Республики Казахстан о пенсионном обеспечении, формирование условных пенсионных обязательств, а также учет условных пенсионных обязательств и сведений о размере пенсионных выплат за счет обязательных пенсионных взносов работодателя на соответствующий финансовый год, а также закрытие условного пенсионного счета физического лица.</w:t>
      </w:r>
    </w:p>
    <w:bookmarkEnd w:id="19"/>
    <w:bookmarkStart w:name="z27" w:id="20"/>
    <w:p>
      <w:pPr>
        <w:spacing w:after="0"/>
        <w:ind w:left="0"/>
        <w:jc w:val="both"/>
      </w:pPr>
      <w:r>
        <w:rPr>
          <w:rFonts w:ascii="Times New Roman"/>
          <w:b w:val="false"/>
          <w:i w:val="false"/>
          <w:color w:val="000000"/>
          <w:sz w:val="28"/>
        </w:rPr>
        <w:t>
      4. Открытие условных пенсионных счетов в ЕНПФ для учета обязательных пенсионных взносов работодателя осуществляется на основании списка физических лиц, представляемого агентом по уплате обязательных пенсионных взносов работодателя в ЕНПФ (далее – список физических лиц), при перечислении обязательных пенсионных взносов работодателя в порядке, установленном внутренним документом ЕНПФ.</w:t>
      </w:r>
    </w:p>
    <w:bookmarkEnd w:id="20"/>
    <w:bookmarkStart w:name="z28" w:id="21"/>
    <w:p>
      <w:pPr>
        <w:spacing w:after="0"/>
        <w:ind w:left="0"/>
        <w:jc w:val="both"/>
      </w:pPr>
      <w:r>
        <w:rPr>
          <w:rFonts w:ascii="Times New Roman"/>
          <w:b w:val="false"/>
          <w:i w:val="false"/>
          <w:color w:val="000000"/>
          <w:sz w:val="28"/>
        </w:rPr>
        <w:t>
      В случае наличия в ЕНПФ условного пенсионного счета, открытого на имя физического лица, обязательные пенсионные взносы работодателя перечисляются на ранее открытый условный пенсионный счет.</w:t>
      </w:r>
    </w:p>
    <w:bookmarkEnd w:id="21"/>
    <w:bookmarkStart w:name="z29" w:id="22"/>
    <w:p>
      <w:pPr>
        <w:spacing w:after="0"/>
        <w:ind w:left="0"/>
        <w:jc w:val="both"/>
      </w:pPr>
      <w:r>
        <w:rPr>
          <w:rFonts w:ascii="Times New Roman"/>
          <w:b w:val="false"/>
          <w:i w:val="false"/>
          <w:color w:val="000000"/>
          <w:sz w:val="28"/>
        </w:rPr>
        <w:t>
      5. ЕНПФ на основании списка физических лиц осуществляет регистрацию условных пенсионных счетов физических лиц в электронной форме.</w:t>
      </w:r>
    </w:p>
    <w:bookmarkEnd w:id="22"/>
    <w:bookmarkStart w:name="z30" w:id="23"/>
    <w:p>
      <w:pPr>
        <w:spacing w:after="0"/>
        <w:ind w:left="0"/>
        <w:jc w:val="both"/>
      </w:pPr>
      <w:r>
        <w:rPr>
          <w:rFonts w:ascii="Times New Roman"/>
          <w:b w:val="false"/>
          <w:i w:val="false"/>
          <w:color w:val="000000"/>
          <w:sz w:val="28"/>
        </w:rPr>
        <w:t xml:space="preserve">
      6. Формирование условных пенсионных обязательств осуществляется отдельно по каждому получателю пенсионных выплат за счет обязательных пенсионных взносов работодателя на основе резервного базиса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31-1 Закона.</w:t>
      </w:r>
    </w:p>
    <w:bookmarkEnd w:id="23"/>
    <w:bookmarkStart w:name="z31" w:id="24"/>
    <w:p>
      <w:pPr>
        <w:spacing w:after="0"/>
        <w:ind w:left="0"/>
        <w:jc w:val="both"/>
      </w:pPr>
      <w:r>
        <w:rPr>
          <w:rFonts w:ascii="Times New Roman"/>
          <w:b w:val="false"/>
          <w:i w:val="false"/>
          <w:color w:val="000000"/>
          <w:sz w:val="28"/>
        </w:rPr>
        <w:t>
      7. Значения параметров резервного базиса, за исключением ставки индексации пенсионных выплат, совпадают со значениями параметров тарифного базиса, за исключением случая, когда резервный базис является более консервативным, чем тарифный.</w:t>
      </w:r>
    </w:p>
    <w:bookmarkEnd w:id="24"/>
    <w:bookmarkStart w:name="z32" w:id="25"/>
    <w:p>
      <w:pPr>
        <w:spacing w:after="0"/>
        <w:ind w:left="0"/>
        <w:jc w:val="both"/>
      </w:pPr>
      <w:r>
        <w:rPr>
          <w:rFonts w:ascii="Times New Roman"/>
          <w:b w:val="false"/>
          <w:i w:val="false"/>
          <w:color w:val="000000"/>
          <w:sz w:val="28"/>
        </w:rPr>
        <w:t>
      В случае, когда резервный базис является более консервативным, чем тарифный базис:</w:t>
      </w:r>
    </w:p>
    <w:bookmarkEnd w:id="25"/>
    <w:bookmarkStart w:name="z33" w:id="26"/>
    <w:p>
      <w:pPr>
        <w:spacing w:after="0"/>
        <w:ind w:left="0"/>
        <w:jc w:val="both"/>
      </w:pPr>
      <w:r>
        <w:rPr>
          <w:rFonts w:ascii="Times New Roman"/>
          <w:b w:val="false"/>
          <w:i w:val="false"/>
          <w:color w:val="000000"/>
          <w:sz w:val="28"/>
        </w:rPr>
        <w:t>
      1) эффективная годовая процентная ставка резервного базиса меньше, чем эффективная годовая процентная ставка тарифного базиса;</w:t>
      </w:r>
    </w:p>
    <w:bookmarkEnd w:id="26"/>
    <w:bookmarkStart w:name="z34" w:id="27"/>
    <w:p>
      <w:pPr>
        <w:spacing w:after="0"/>
        <w:ind w:left="0"/>
        <w:jc w:val="both"/>
      </w:pPr>
      <w:r>
        <w:rPr>
          <w:rFonts w:ascii="Times New Roman"/>
          <w:b w:val="false"/>
          <w:i w:val="false"/>
          <w:color w:val="000000"/>
          <w:sz w:val="28"/>
        </w:rPr>
        <w:t>
      2) коэффициенты таблицы смертности резервного базиса меньше коэффициентов соответствующих таблиц тарифного базиса по всем возрастам.</w:t>
      </w:r>
    </w:p>
    <w:bookmarkEnd w:id="27"/>
    <w:bookmarkStart w:name="z35" w:id="28"/>
    <w:p>
      <w:pPr>
        <w:spacing w:after="0"/>
        <w:ind w:left="0"/>
        <w:jc w:val="both"/>
      </w:pPr>
      <w:r>
        <w:rPr>
          <w:rFonts w:ascii="Times New Roman"/>
          <w:b w:val="false"/>
          <w:i w:val="false"/>
          <w:color w:val="000000"/>
          <w:sz w:val="28"/>
        </w:rPr>
        <w:t>
      8. Условные пенсионные обязательства по отдельному получателю пенсионных выплат за счет обязательных пенсионных взносов работодателя равны приведенной ожидаемой стоимости пенсионных выплат.</w:t>
      </w:r>
    </w:p>
    <w:bookmarkEnd w:id="28"/>
    <w:bookmarkStart w:name="z36" w:id="29"/>
    <w:p>
      <w:pPr>
        <w:spacing w:after="0"/>
        <w:ind w:left="0"/>
        <w:jc w:val="both"/>
      </w:pPr>
      <w:r>
        <w:rPr>
          <w:rFonts w:ascii="Times New Roman"/>
          <w:b w:val="false"/>
          <w:i w:val="false"/>
          <w:color w:val="000000"/>
          <w:sz w:val="28"/>
        </w:rPr>
        <w:t>
      9. Условные пенсионные обязательства по всем получателям пенсионных выплат за счет обязательных пенсионных взносов работодателя рассчитываются как сумма условных пенсионных обязательств по всем физическим лицам, которым на дату расчета назначены пенсионные выплаты из ЕНПФ.</w:t>
      </w:r>
    </w:p>
    <w:bookmarkEnd w:id="29"/>
    <w:bookmarkStart w:name="z37" w:id="30"/>
    <w:p>
      <w:pPr>
        <w:spacing w:after="0"/>
        <w:ind w:left="0"/>
        <w:jc w:val="both"/>
      </w:pPr>
      <w:r>
        <w:rPr>
          <w:rFonts w:ascii="Times New Roman"/>
          <w:b w:val="false"/>
          <w:i w:val="false"/>
          <w:color w:val="000000"/>
          <w:sz w:val="28"/>
        </w:rPr>
        <w:t>
      10. Учет обязательных пенсионных взносов работодателя и иных поступлений в соответствии с законодательством Республики Казахстан о пенсионном обеспечении, условных пенсионных обязательств и сведений о размере пенсионных выплат за счет обязательных пенсионных взносов работодателя на соответствующий финансовый год на условных пенсионных счетах физических лиц, а также учет средств на условных пенсионных счетах, предназначенных для формирования резервных фондов, осуществляется в тенге.</w:t>
      </w:r>
    </w:p>
    <w:bookmarkEnd w:id="30"/>
    <w:bookmarkStart w:name="z38" w:id="31"/>
    <w:p>
      <w:pPr>
        <w:spacing w:after="0"/>
        <w:ind w:left="0"/>
        <w:jc w:val="both"/>
      </w:pPr>
      <w:r>
        <w:rPr>
          <w:rFonts w:ascii="Times New Roman"/>
          <w:b w:val="false"/>
          <w:i w:val="false"/>
          <w:color w:val="000000"/>
          <w:sz w:val="28"/>
        </w:rPr>
        <w:t>
      11. Условные пенсионные счета физических лиц открываются в день поступления в ЕНПФ списка физических лиц, за которых перечисляются обязательные пенсионные взносы работодателя.</w:t>
      </w:r>
    </w:p>
    <w:bookmarkEnd w:id="31"/>
    <w:bookmarkStart w:name="z39" w:id="32"/>
    <w:p>
      <w:pPr>
        <w:spacing w:after="0"/>
        <w:ind w:left="0"/>
        <w:jc w:val="both"/>
      </w:pPr>
      <w:r>
        <w:rPr>
          <w:rFonts w:ascii="Times New Roman"/>
          <w:b w:val="false"/>
          <w:i w:val="false"/>
          <w:color w:val="000000"/>
          <w:sz w:val="28"/>
        </w:rPr>
        <w:t xml:space="preserve">
      12. Структура условного пенсионного счета содержит обязательные данные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32"/>
    <w:bookmarkStart w:name="z40" w:id="33"/>
    <w:p>
      <w:pPr>
        <w:spacing w:after="0"/>
        <w:ind w:left="0"/>
        <w:jc w:val="both"/>
      </w:pPr>
      <w:r>
        <w:rPr>
          <w:rFonts w:ascii="Times New Roman"/>
          <w:b w:val="false"/>
          <w:i w:val="false"/>
          <w:color w:val="000000"/>
          <w:sz w:val="28"/>
        </w:rPr>
        <w:t>
      13. Учет условных пенсионных обязательств осуществляется ЕНПФ путем расчета стоимости условной единицы пенсионных обязательств, определяемой как удельная величина стоимости условных пенсионных обязательств.</w:t>
      </w:r>
    </w:p>
    <w:bookmarkEnd w:id="33"/>
    <w:bookmarkStart w:name="z41" w:id="34"/>
    <w:p>
      <w:pPr>
        <w:spacing w:after="0"/>
        <w:ind w:left="0"/>
        <w:jc w:val="both"/>
      </w:pPr>
      <w:r>
        <w:rPr>
          <w:rFonts w:ascii="Times New Roman"/>
          <w:b w:val="false"/>
          <w:i w:val="false"/>
          <w:color w:val="000000"/>
          <w:sz w:val="28"/>
        </w:rPr>
        <w:t>
      14. Для учета поступивших сумм, которые не подлежат учету на условном пенсионном счете физического лица, в день поступления открывается (при необходимости) счет кредиторской задолженности.</w:t>
      </w:r>
    </w:p>
    <w:bookmarkEnd w:id="34"/>
    <w:bookmarkStart w:name="z42" w:id="35"/>
    <w:p>
      <w:pPr>
        <w:spacing w:after="0"/>
        <w:ind w:left="0"/>
        <w:jc w:val="both"/>
      </w:pPr>
      <w:r>
        <w:rPr>
          <w:rFonts w:ascii="Times New Roman"/>
          <w:b w:val="false"/>
          <w:i w:val="false"/>
          <w:color w:val="000000"/>
          <w:sz w:val="28"/>
        </w:rPr>
        <w:t>
      Порядок зачисления и (или) списания прочих поступлений по счету "прочие суммы до выяснения", не подлежащих зачислению на условные пенсионные счета или счета кредиторской задолженности физических лиц, определяется внутренним документом ЕНПФ.</w:t>
      </w:r>
    </w:p>
    <w:bookmarkEnd w:id="35"/>
    <w:bookmarkStart w:name="z43" w:id="36"/>
    <w:p>
      <w:pPr>
        <w:spacing w:after="0"/>
        <w:ind w:left="0"/>
        <w:jc w:val="both"/>
      </w:pPr>
      <w:r>
        <w:rPr>
          <w:rFonts w:ascii="Times New Roman"/>
          <w:b w:val="false"/>
          <w:i w:val="false"/>
          <w:color w:val="000000"/>
          <w:sz w:val="28"/>
        </w:rPr>
        <w:t>
      15. Условный пенсионный счет в ЕНПФ закрывается в случае получения подтверждающих сведений из информационных систем государственных органов и (или) документов о смерти физических лиц и (или) о выезде физических лиц на постоянное место жительства за пределы Республики Казахстан.</w:t>
      </w:r>
    </w:p>
    <w:bookmarkEnd w:id="36"/>
    <w:bookmarkStart w:name="z44" w:id="37"/>
    <w:p>
      <w:pPr>
        <w:spacing w:after="0"/>
        <w:ind w:left="0"/>
        <w:jc w:val="both"/>
      </w:pPr>
      <w:r>
        <w:rPr>
          <w:rFonts w:ascii="Times New Roman"/>
          <w:b w:val="false"/>
          <w:i w:val="false"/>
          <w:color w:val="000000"/>
          <w:sz w:val="28"/>
        </w:rPr>
        <w:t>
      16. После закрытия условного пенсионного счета в ЕНПФ присвоение номера закрытого условного пенсионного счета условному пенсионному счету другого физического лица не допускается.</w:t>
      </w:r>
    </w:p>
    <w:bookmarkEnd w:id="37"/>
    <w:bookmarkStart w:name="z45" w:id="38"/>
    <w:p>
      <w:pPr>
        <w:spacing w:after="0"/>
        <w:ind w:left="0"/>
        <w:jc w:val="left"/>
      </w:pPr>
      <w:r>
        <w:rPr>
          <w:rFonts w:ascii="Times New Roman"/>
          <w:b/>
          <w:i w:val="false"/>
          <w:color w:val="000000"/>
        </w:rPr>
        <w:t xml:space="preserve"> Глава 3. Формирование и использование резервных фондов, методика расчета и структура резервных фондов</w:t>
      </w:r>
    </w:p>
    <w:bookmarkEnd w:id="38"/>
    <w:bookmarkStart w:name="z46" w:id="39"/>
    <w:p>
      <w:pPr>
        <w:spacing w:after="0"/>
        <w:ind w:left="0"/>
        <w:jc w:val="both"/>
      </w:pPr>
      <w:r>
        <w:rPr>
          <w:rFonts w:ascii="Times New Roman"/>
          <w:b w:val="false"/>
          <w:i w:val="false"/>
          <w:color w:val="000000"/>
          <w:sz w:val="28"/>
        </w:rPr>
        <w:t>
      17. В структуру резервных фондов входят:</w:t>
      </w:r>
    </w:p>
    <w:bookmarkEnd w:id="39"/>
    <w:bookmarkStart w:name="z47" w:id="40"/>
    <w:p>
      <w:pPr>
        <w:spacing w:after="0"/>
        <w:ind w:left="0"/>
        <w:jc w:val="both"/>
      </w:pPr>
      <w:r>
        <w:rPr>
          <w:rFonts w:ascii="Times New Roman"/>
          <w:b w:val="false"/>
          <w:i w:val="false"/>
          <w:color w:val="000000"/>
          <w:sz w:val="28"/>
        </w:rPr>
        <w:t>
      1) резервные фонды, формируемые отдельно по каждой возрастной когорте физических лиц, в пользу которых были перечислены обязательные пенсионные взносы работодателя (далее – резервные фонды по когортам);</w:t>
      </w:r>
    </w:p>
    <w:bookmarkEnd w:id="40"/>
    <w:bookmarkStart w:name="z48" w:id="41"/>
    <w:p>
      <w:pPr>
        <w:spacing w:after="0"/>
        <w:ind w:left="0"/>
        <w:jc w:val="both"/>
      </w:pPr>
      <w:r>
        <w:rPr>
          <w:rFonts w:ascii="Times New Roman"/>
          <w:b w:val="false"/>
          <w:i w:val="false"/>
          <w:color w:val="000000"/>
          <w:sz w:val="28"/>
        </w:rPr>
        <w:t>
      2) резервный фонд по условным пенсионным обязательствам.</w:t>
      </w:r>
    </w:p>
    <w:bookmarkEnd w:id="41"/>
    <w:bookmarkStart w:name="z49" w:id="42"/>
    <w:p>
      <w:pPr>
        <w:spacing w:after="0"/>
        <w:ind w:left="0"/>
        <w:jc w:val="both"/>
      </w:pPr>
      <w:r>
        <w:rPr>
          <w:rFonts w:ascii="Times New Roman"/>
          <w:b w:val="false"/>
          <w:i w:val="false"/>
          <w:color w:val="000000"/>
          <w:sz w:val="28"/>
        </w:rPr>
        <w:t>
      18. Резервные фонды по когортам формируются за счет зачисления с условных пенсионных счетов физических лиц средств:</w:t>
      </w:r>
    </w:p>
    <w:bookmarkEnd w:id="42"/>
    <w:bookmarkStart w:name="z50" w:id="43"/>
    <w:p>
      <w:pPr>
        <w:spacing w:after="0"/>
        <w:ind w:left="0"/>
        <w:jc w:val="both"/>
      </w:pPr>
      <w:r>
        <w:rPr>
          <w:rFonts w:ascii="Times New Roman"/>
          <w:b w:val="false"/>
          <w:i w:val="false"/>
          <w:color w:val="000000"/>
          <w:sz w:val="28"/>
        </w:rPr>
        <w:t xml:space="preserve">
      1) в случае получения подтверждающих сведений из информационных систем государственных органов и (или) документов о смерти физических лиц и (или) о выезде физических лиц на постоянное место жительства за пределы Республики Казахстан, не достигших пенсионного возраста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31-1 Закона. Зачисление с условных пенсионных счетов данных лиц не осуществляется в год достижения их возрастной когорты пенсионного возраста;</w:t>
      </w:r>
    </w:p>
    <w:bookmarkEnd w:id="43"/>
    <w:bookmarkStart w:name="z51" w:id="44"/>
    <w:p>
      <w:pPr>
        <w:spacing w:after="0"/>
        <w:ind w:left="0"/>
        <w:jc w:val="both"/>
      </w:pPr>
      <w:r>
        <w:rPr>
          <w:rFonts w:ascii="Times New Roman"/>
          <w:b w:val="false"/>
          <w:i w:val="false"/>
          <w:color w:val="000000"/>
          <w:sz w:val="28"/>
        </w:rPr>
        <w:t xml:space="preserve">
      2) свыше суммы, необходимой для обеспечения пожизненных выплат на уровне двукратного размера прожиточного минимума, установленного на соответствующий финансовый год законом о республиканском бюджете, в последний день календарного года, предшествующего году достижения пенсионного возраста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31-1 Закона;</w:t>
      </w:r>
    </w:p>
    <w:bookmarkEnd w:id="44"/>
    <w:bookmarkStart w:name="z52" w:id="45"/>
    <w:p>
      <w:pPr>
        <w:spacing w:after="0"/>
        <w:ind w:left="0"/>
        <w:jc w:val="both"/>
      </w:pPr>
      <w:r>
        <w:rPr>
          <w:rFonts w:ascii="Times New Roman"/>
          <w:b w:val="false"/>
          <w:i w:val="false"/>
          <w:color w:val="000000"/>
          <w:sz w:val="28"/>
        </w:rPr>
        <w:t xml:space="preserve">
      3) свыше суммы, необходимой для обеспечения пожизненных выплат на уровне двукратного размера прожиточного минимума, установленного на соответствующий финансовый год законом о республиканском бюджете, на дату исполнения заявления физического лица о назначении пенсионных выплат за счет обязательных пенсионных взносов работодателя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31-1 Закона.</w:t>
      </w:r>
    </w:p>
    <w:bookmarkEnd w:id="45"/>
    <w:bookmarkStart w:name="z53" w:id="46"/>
    <w:p>
      <w:pPr>
        <w:spacing w:after="0"/>
        <w:ind w:left="0"/>
        <w:jc w:val="both"/>
      </w:pPr>
      <w:r>
        <w:rPr>
          <w:rFonts w:ascii="Times New Roman"/>
          <w:b w:val="false"/>
          <w:i w:val="false"/>
          <w:color w:val="000000"/>
          <w:sz w:val="28"/>
        </w:rPr>
        <w:t xml:space="preserve">
      19. Резервные фонды по когортам используются посредством равномерного распределения средств, учитываемых на условных пенсионных счетах резервных фондов по когортам, на условные пенсионные счета физических лиц внутри каждой возрастной когорты в последний день календарного года, предшествующего году достижения возрастной когортой пенсионного возраста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31-1 Закона. Распределение не осуществляется на условные пенсионные счета физических лиц, с которых ранее было осуществлено зачисление на условные пенсионные счета резервных фондов по когортам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18 Правил.</w:t>
      </w:r>
    </w:p>
    <w:bookmarkEnd w:id="46"/>
    <w:bookmarkStart w:name="z54" w:id="47"/>
    <w:p>
      <w:pPr>
        <w:spacing w:after="0"/>
        <w:ind w:left="0"/>
        <w:jc w:val="both"/>
      </w:pPr>
      <w:r>
        <w:rPr>
          <w:rFonts w:ascii="Times New Roman"/>
          <w:b w:val="false"/>
          <w:i w:val="false"/>
          <w:color w:val="000000"/>
          <w:sz w:val="28"/>
        </w:rPr>
        <w:t>
      20. Текущая стоимость резервных фондов по когортам, с учетом распределения средств согласно пункту 19 Правил, на конец календарного года составляет 0 (ноль) тенге.</w:t>
      </w:r>
    </w:p>
    <w:bookmarkEnd w:id="47"/>
    <w:bookmarkStart w:name="z55" w:id="48"/>
    <w:p>
      <w:pPr>
        <w:spacing w:after="0"/>
        <w:ind w:left="0"/>
        <w:jc w:val="both"/>
      </w:pPr>
      <w:r>
        <w:rPr>
          <w:rFonts w:ascii="Times New Roman"/>
          <w:b w:val="false"/>
          <w:i w:val="false"/>
          <w:color w:val="000000"/>
          <w:sz w:val="28"/>
        </w:rPr>
        <w:t>
      21. Резервный фонд по условным пенсионным обязательствам формируется за счет зачисления средств с условных пенсионных счетов физических лиц:</w:t>
      </w:r>
    </w:p>
    <w:bookmarkEnd w:id="48"/>
    <w:bookmarkStart w:name="z56" w:id="49"/>
    <w:p>
      <w:pPr>
        <w:spacing w:after="0"/>
        <w:ind w:left="0"/>
        <w:jc w:val="both"/>
      </w:pPr>
      <w:r>
        <w:rPr>
          <w:rFonts w:ascii="Times New Roman"/>
          <w:b w:val="false"/>
          <w:i w:val="false"/>
          <w:color w:val="000000"/>
          <w:sz w:val="28"/>
        </w:rPr>
        <w:t xml:space="preserve">
      1) за которых на дату наступления права на пенсионные выплаты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31-1 Закона согласно сведениям о периодах, указанным в списках физических лиц, поступающих в ЕНПФ от Государственной корпорации "Правительство для граждан" (далее – Государственная корпорация), перечислены обязательные пенсионные взносы работодателя в совокупности менее шестидесяти календарных месяцев;</w:t>
      </w:r>
    </w:p>
    <w:bookmarkEnd w:id="49"/>
    <w:bookmarkStart w:name="z57" w:id="50"/>
    <w:p>
      <w:pPr>
        <w:spacing w:after="0"/>
        <w:ind w:left="0"/>
        <w:jc w:val="both"/>
      </w:pPr>
      <w:r>
        <w:rPr>
          <w:rFonts w:ascii="Times New Roman"/>
          <w:b w:val="false"/>
          <w:i w:val="false"/>
          <w:color w:val="000000"/>
          <w:sz w:val="28"/>
        </w:rPr>
        <w:t xml:space="preserve">
      2) являющихся инвалидами первой и второй группы, если инвалидность установлена бессрочно, за которых на дату реализации права на пенсионные выплаты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31-1 Закона согласно сведениям о периодах, указанным в списках физических лиц, поступающих в ЕНПФ от Государственной корпорации, перечислены обязательные пенсионные взносы работодателя в совокупности менее шестидесяти календарных месяцев;</w:t>
      </w:r>
    </w:p>
    <w:bookmarkEnd w:id="50"/>
    <w:bookmarkStart w:name="z58" w:id="51"/>
    <w:p>
      <w:pPr>
        <w:spacing w:after="0"/>
        <w:ind w:left="0"/>
        <w:jc w:val="both"/>
      </w:pPr>
      <w:r>
        <w:rPr>
          <w:rFonts w:ascii="Times New Roman"/>
          <w:b w:val="false"/>
          <w:i w:val="false"/>
          <w:color w:val="000000"/>
          <w:sz w:val="28"/>
        </w:rPr>
        <w:t xml:space="preserve">
      3) свыше суммы, необходимой для обеспечения пожизненных выплат на уровне двукратного размера прожиточного минимума, установленного на соответствующий финансовый год законом о республиканском бюджете, при наступлении условий, предусмотренных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31-1 Закона;</w:t>
      </w:r>
    </w:p>
    <w:bookmarkEnd w:id="51"/>
    <w:bookmarkStart w:name="z59" w:id="52"/>
    <w:p>
      <w:pPr>
        <w:spacing w:after="0"/>
        <w:ind w:left="0"/>
        <w:jc w:val="both"/>
      </w:pPr>
      <w:r>
        <w:rPr>
          <w:rFonts w:ascii="Times New Roman"/>
          <w:b w:val="false"/>
          <w:i w:val="false"/>
          <w:color w:val="000000"/>
          <w:sz w:val="28"/>
        </w:rPr>
        <w:t xml:space="preserve">
      4) достигших пенсионного возраста и не реализовавших свое право на пенсионные выплаты по истечении 1 (одного) календарного года с даты наступления права на пенсионные выплаты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31-1 Закона;</w:t>
      </w:r>
    </w:p>
    <w:bookmarkEnd w:id="52"/>
    <w:bookmarkStart w:name="z60" w:id="53"/>
    <w:p>
      <w:pPr>
        <w:spacing w:after="0"/>
        <w:ind w:left="0"/>
        <w:jc w:val="both"/>
      </w:pPr>
      <w:r>
        <w:rPr>
          <w:rFonts w:ascii="Times New Roman"/>
          <w:b w:val="false"/>
          <w:i w:val="false"/>
          <w:color w:val="000000"/>
          <w:sz w:val="28"/>
        </w:rPr>
        <w:t xml:space="preserve">
      5) в случае получения подтверждающих сведений из информационных систем государственных органов и (или) документов о смерти физических лиц и (или) о выезде физических лиц на постоянное место жительства за пределы Республики Казахстан в год достижения пенсионного возраста до момента реализации права на пенсионные выплаты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31-1 Закона.</w:t>
      </w:r>
    </w:p>
    <w:bookmarkEnd w:id="53"/>
    <w:bookmarkStart w:name="z61" w:id="54"/>
    <w:p>
      <w:pPr>
        <w:spacing w:after="0"/>
        <w:ind w:left="0"/>
        <w:jc w:val="both"/>
      </w:pPr>
      <w:r>
        <w:rPr>
          <w:rFonts w:ascii="Times New Roman"/>
          <w:b w:val="false"/>
          <w:i w:val="false"/>
          <w:color w:val="000000"/>
          <w:sz w:val="28"/>
        </w:rPr>
        <w:t>
      22. Резервный фонд по условным пенсионным обязательствам используется:</w:t>
      </w:r>
    </w:p>
    <w:bookmarkEnd w:id="54"/>
    <w:bookmarkStart w:name="z62" w:id="55"/>
    <w:p>
      <w:pPr>
        <w:spacing w:after="0"/>
        <w:ind w:left="0"/>
        <w:jc w:val="both"/>
      </w:pPr>
      <w:r>
        <w:rPr>
          <w:rFonts w:ascii="Times New Roman"/>
          <w:b w:val="false"/>
          <w:i w:val="false"/>
          <w:color w:val="000000"/>
          <w:sz w:val="28"/>
        </w:rPr>
        <w:t xml:space="preserve">
      1) для пополнения средств на условных пенсионных счетах физических лиц в случае, если на дату наступления условий, предусмотренных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31-1 Закона, средства на условном пенсионном счете физического лица ниже суммы, необходимой для обеспечения пожизненных выплат на уровне двукратного размера прожиточного минимума, установленного на соответствующий финансовый год законом о республиканском бюджете. Пополнение осуществляется на сумму недостающей разницы, но не более суммы, ранее списанной с условного пенсионного счета физического лица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18 Правил;</w:t>
      </w:r>
    </w:p>
    <w:bookmarkEnd w:id="55"/>
    <w:bookmarkStart w:name="z63" w:id="56"/>
    <w:p>
      <w:pPr>
        <w:spacing w:after="0"/>
        <w:ind w:left="0"/>
        <w:jc w:val="both"/>
      </w:pPr>
      <w:r>
        <w:rPr>
          <w:rFonts w:ascii="Times New Roman"/>
          <w:b w:val="false"/>
          <w:i w:val="false"/>
          <w:color w:val="000000"/>
          <w:sz w:val="28"/>
        </w:rPr>
        <w:t>
      2) для зачисления на условные пенсионные счета физических лиц по заявлению физических лиц на сумму ранее списанных средств в случае получения ошибочных сведений о смерти физических лиц и (или) о выезде физических лиц на постоянное место жительства за пределы Республики Казахстан;</w:t>
      </w:r>
    </w:p>
    <w:bookmarkEnd w:id="56"/>
    <w:bookmarkStart w:name="z64" w:id="57"/>
    <w:p>
      <w:pPr>
        <w:spacing w:after="0"/>
        <w:ind w:left="0"/>
        <w:jc w:val="both"/>
      </w:pPr>
      <w:r>
        <w:rPr>
          <w:rFonts w:ascii="Times New Roman"/>
          <w:b w:val="false"/>
          <w:i w:val="false"/>
          <w:color w:val="000000"/>
          <w:sz w:val="28"/>
        </w:rPr>
        <w:t xml:space="preserve">
      3) для зачисления на условные пенсионные счета физических лиц по заявлению физических лиц на сумму ранее списанных средств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21 Правил.</w:t>
      </w:r>
    </w:p>
    <w:bookmarkEnd w:id="57"/>
    <w:bookmarkStart w:name="z65" w:id="58"/>
    <w:p>
      <w:pPr>
        <w:spacing w:after="0"/>
        <w:ind w:left="0"/>
        <w:jc w:val="both"/>
      </w:pPr>
      <w:r>
        <w:rPr>
          <w:rFonts w:ascii="Times New Roman"/>
          <w:b w:val="false"/>
          <w:i w:val="false"/>
          <w:color w:val="000000"/>
          <w:sz w:val="28"/>
        </w:rPr>
        <w:t>
      23. Вопросы учета и формирования условных пенсионных обязательств, не урегулированные Правилами, регулируются в соответствии с внутренними документами ЕНПФ.</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учета и формирования</w:t>
            </w:r>
            <w:r>
              <w:br/>
            </w:r>
            <w:r>
              <w:rPr>
                <w:rFonts w:ascii="Times New Roman"/>
                <w:b w:val="false"/>
                <w:i w:val="false"/>
                <w:color w:val="000000"/>
                <w:sz w:val="20"/>
              </w:rPr>
              <w:t>условных пенсионных обязательств,</w:t>
            </w:r>
            <w:r>
              <w:br/>
            </w:r>
            <w:r>
              <w:rPr>
                <w:rFonts w:ascii="Times New Roman"/>
                <w:b w:val="false"/>
                <w:i w:val="false"/>
                <w:color w:val="000000"/>
                <w:sz w:val="20"/>
              </w:rPr>
              <w:t>формирования и использования</w:t>
            </w:r>
            <w:r>
              <w:br/>
            </w:r>
            <w:r>
              <w:rPr>
                <w:rFonts w:ascii="Times New Roman"/>
                <w:b w:val="false"/>
                <w:i w:val="false"/>
                <w:color w:val="000000"/>
                <w:sz w:val="20"/>
              </w:rPr>
              <w:t>резервных фондов, методике расчета и</w:t>
            </w:r>
            <w:r>
              <w:br/>
            </w:r>
            <w:r>
              <w:rPr>
                <w:rFonts w:ascii="Times New Roman"/>
                <w:b w:val="false"/>
                <w:i w:val="false"/>
                <w:color w:val="000000"/>
                <w:sz w:val="20"/>
              </w:rPr>
              <w:t>структуре резервных фондов</w:t>
            </w:r>
          </w:p>
        </w:tc>
      </w:tr>
    </w:tbl>
    <w:bookmarkStart w:name="z67" w:id="59"/>
    <w:p>
      <w:pPr>
        <w:spacing w:after="0"/>
        <w:ind w:left="0"/>
        <w:jc w:val="both"/>
      </w:pPr>
      <w:r>
        <w:rPr>
          <w:rFonts w:ascii="Times New Roman"/>
          <w:b w:val="false"/>
          <w:i w:val="false"/>
          <w:color w:val="000000"/>
          <w:sz w:val="28"/>
        </w:rPr>
        <w:t>
      Структура условного пенсионного счета содержит следующие обязательные данные:</w:t>
      </w:r>
    </w:p>
    <w:bookmarkEnd w:id="59"/>
    <w:bookmarkStart w:name="z68" w:id="60"/>
    <w:p>
      <w:pPr>
        <w:spacing w:after="0"/>
        <w:ind w:left="0"/>
        <w:jc w:val="both"/>
      </w:pPr>
      <w:r>
        <w:rPr>
          <w:rFonts w:ascii="Times New Roman"/>
          <w:b w:val="false"/>
          <w:i w:val="false"/>
          <w:color w:val="000000"/>
          <w:sz w:val="28"/>
        </w:rPr>
        <w:t>
      A BBBBBB CC DD ..., где: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обозначение типа пенсионного взноса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Означает тип пенсионного взноса, где</w:t>
            </w:r>
          </w:p>
          <w:bookmarkEnd w:id="61"/>
          <w:p>
            <w:pPr>
              <w:spacing w:after="20"/>
              <w:ind w:left="20"/>
              <w:jc w:val="both"/>
            </w:pPr>
            <w:r>
              <w:rPr>
                <w:rFonts w:ascii="Times New Roman"/>
                <w:b w:val="false"/>
                <w:i w:val="false"/>
                <w:color w:val="000000"/>
                <w:sz w:val="20"/>
              </w:rPr>
              <w:t>
"4" - обязательные пенсионные взносы работодателя.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балансового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Означают счет плана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региона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(области) - цифры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ЕНПФ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ЕНПФ - цифры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