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f062" w14:textId="1cff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пруденциальных нормативов и иных обязательных к соблюдению организацией, осуществляющей микрофинансовую деятельность, норм и лимитов, методики их расчетов</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14 ноября 2019 года № 192. Зарегистрировано в Министерстве юстиции Республики Казахстан 21 ноября 2019 года № 19629.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Настоящее постановление вводится в действие с 1 января 2020 года.</w:t>
      </w:r>
    </w:p>
    <w:bookmarkStart w:name="z5" w:id="0"/>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государственной статистике</w:t>
      </w:r>
      <w:r>
        <w:rPr>
          <w:rFonts w:ascii="Times New Roman"/>
          <w:b w:val="false"/>
          <w:i w:val="false"/>
          <w:color w:val="000000"/>
          <w:sz w:val="28"/>
        </w:rPr>
        <w:t>" и "</w:t>
      </w:r>
      <w:r>
        <w:rPr>
          <w:rFonts w:ascii="Times New Roman"/>
          <w:b w:val="false"/>
          <w:i w:val="false"/>
          <w:color w:val="000000"/>
          <w:sz w:val="28"/>
        </w:rPr>
        <w:t>О микрофинансовой деятельности</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30.04.2024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Пруденциальные нормативы</w:t>
      </w:r>
      <w:r>
        <w:rPr>
          <w:rFonts w:ascii="Times New Roman"/>
          <w:b w:val="false"/>
          <w:i w:val="false"/>
          <w:color w:val="000000"/>
          <w:sz w:val="28"/>
        </w:rPr>
        <w:t xml:space="preserve"> и иные обязательные к соблюдению организацией, осуществляющей микрофинансовую деятельность, нормы и лимиты, методику их расчетов.</w:t>
      </w:r>
    </w:p>
    <w:bookmarkEnd w:id="1"/>
    <w:bookmarkStart w:name="z7" w:id="2"/>
    <w:p>
      <w:pPr>
        <w:spacing w:after="0"/>
        <w:ind w:left="0"/>
        <w:jc w:val="both"/>
      </w:pPr>
      <w:r>
        <w:rPr>
          <w:rFonts w:ascii="Times New Roman"/>
          <w:b w:val="false"/>
          <w:i w:val="false"/>
          <w:color w:val="000000"/>
          <w:sz w:val="28"/>
        </w:rPr>
        <w:t>
      2. Признать утратившими силу:</w:t>
      </w:r>
    </w:p>
    <w:bookmarkEnd w:id="2"/>
    <w:bookmarkStart w:name="z8"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июля 2017 года № 148 "Об утверждении пруденциальных нормативов и иных обязательных к соблюдению микрофинансовой организацией норм и лимитов, методики их расчетов, а также форм и сроков представления отчетности об их выполнении" (зарегистрировано в Реестре государственной регистрации нормативных правовых актов под № 15696, опубликовано  25 сентября 2017 года в Эталонном контрольном банке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13</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финансового рынка, в которые вносятся изменения, утвержденного постановлением Правления Национального Банка Республики Казахстан от 30 июля 2018 года № 157 "О внесении изменений в некоторые нормативные правовые акты Республики Казахстан по вопросам регулирования финансового рынка" (зарегистрировано в Реестре государственной регистрации нормативных правовых актов под № 17559, опубликовано 22 октября 2018 года в Эталонном контрольном банке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Департаменту методологии и регулирования финансовых организаций в установленном законодательством Республики Казахстан порядке обеспечить:</w:t>
      </w:r>
    </w:p>
    <w:bookmarkEnd w:id="5"/>
    <w:bookmarkStart w:name="z11" w:id="6"/>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7"/>
    <w:bookmarkStart w:name="z13"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w:t>
      </w:r>
    </w:p>
    <w:bookmarkEnd w:id="8"/>
    <w:bookmarkStart w:name="z14" w:id="9"/>
    <w:p>
      <w:pPr>
        <w:spacing w:after="0"/>
        <w:ind w:left="0"/>
        <w:jc w:val="both"/>
      </w:pPr>
      <w:r>
        <w:rPr>
          <w:rFonts w:ascii="Times New Roman"/>
          <w:b w:val="false"/>
          <w:i w:val="false"/>
          <w:color w:val="000000"/>
          <w:sz w:val="28"/>
        </w:rPr>
        <w:t>
      4. Департаменту внешних коммуникаций – пресс-службе Национального Банка Республики Казахстан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9"/>
    <w:bookmarkStart w:name="z15" w:id="10"/>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10"/>
    <w:bookmarkStart w:name="z16" w:id="11"/>
    <w:p>
      <w:pPr>
        <w:spacing w:after="0"/>
        <w:ind w:left="0"/>
        <w:jc w:val="both"/>
      </w:pPr>
      <w:r>
        <w:rPr>
          <w:rFonts w:ascii="Times New Roman"/>
          <w:b w:val="false"/>
          <w:i w:val="false"/>
          <w:color w:val="000000"/>
          <w:sz w:val="28"/>
        </w:rPr>
        <w:t>
      6. Настоящее постановление вводится в действие с 1 января 2020 года и подлежит официальному опубликованию.</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2019 года № 192</w:t>
            </w:r>
          </w:p>
        </w:tc>
      </w:tr>
    </w:tbl>
    <w:bookmarkStart w:name="z19" w:id="12"/>
    <w:p>
      <w:pPr>
        <w:spacing w:after="0"/>
        <w:ind w:left="0"/>
        <w:jc w:val="left"/>
      </w:pPr>
      <w:r>
        <w:rPr>
          <w:rFonts w:ascii="Times New Roman"/>
          <w:b/>
          <w:i w:val="false"/>
          <w:color w:val="000000"/>
        </w:rPr>
        <w:t xml:space="preserve"> Пруденциальные нормативы и иные обязательные к соблюдению организацией, осуществляющей микрофинансовую деятельность, нормы и лимиты, методика их расчетов</w:t>
      </w:r>
    </w:p>
    <w:bookmarkEnd w:id="12"/>
    <w:bookmarkStart w:name="z20" w:id="13"/>
    <w:p>
      <w:pPr>
        <w:spacing w:after="0"/>
        <w:ind w:left="0"/>
        <w:jc w:val="left"/>
      </w:pPr>
      <w:r>
        <w:rPr>
          <w:rFonts w:ascii="Times New Roman"/>
          <w:b/>
          <w:i w:val="false"/>
          <w:color w:val="000000"/>
        </w:rPr>
        <w:t xml:space="preserve"> Глава 1. Общие положения</w:t>
      </w:r>
    </w:p>
    <w:bookmarkEnd w:id="13"/>
    <w:bookmarkStart w:name="z21" w:id="14"/>
    <w:p>
      <w:pPr>
        <w:spacing w:after="0"/>
        <w:ind w:left="0"/>
        <w:jc w:val="both"/>
      </w:pPr>
      <w:r>
        <w:rPr>
          <w:rFonts w:ascii="Times New Roman"/>
          <w:b w:val="false"/>
          <w:i w:val="false"/>
          <w:color w:val="000000"/>
          <w:sz w:val="28"/>
        </w:rPr>
        <w:t xml:space="preserve">
      1. Настоящие Пруденциальные нормативы и иные обязательные к соблюдению организацией, осуществляющей микрофинансовую деятельность, нормы и лимиты, методика их расчетов (далее - Нормативы) разработаны в соответствии с Законом Республики Казахстан от 26 ноября 2012 года </w:t>
      </w:r>
      <w:r>
        <w:rPr>
          <w:rFonts w:ascii="Times New Roman"/>
          <w:b w:val="false"/>
          <w:i w:val="false"/>
          <w:color w:val="000000"/>
          <w:sz w:val="28"/>
        </w:rPr>
        <w:t>"О микрофинансовой деятельности"</w:t>
      </w:r>
      <w:r>
        <w:rPr>
          <w:rFonts w:ascii="Times New Roman"/>
          <w:b w:val="false"/>
          <w:i w:val="false"/>
          <w:color w:val="000000"/>
          <w:sz w:val="28"/>
        </w:rPr>
        <w:t xml:space="preserve"> (далее - Закон) и устанавливают пруденциальные нормативы и иные обязательные к соблюдению организацией, осуществляющей микрофинансовую деятельность, нормы и лимиты, методику их расчетов.</w:t>
      </w:r>
    </w:p>
    <w:bookmarkEnd w:id="14"/>
    <w:bookmarkStart w:name="z22" w:id="15"/>
    <w:p>
      <w:pPr>
        <w:spacing w:after="0"/>
        <w:ind w:left="0"/>
        <w:jc w:val="both"/>
      </w:pPr>
      <w:r>
        <w:rPr>
          <w:rFonts w:ascii="Times New Roman"/>
          <w:b w:val="false"/>
          <w:i w:val="false"/>
          <w:color w:val="000000"/>
          <w:sz w:val="28"/>
        </w:rPr>
        <w:t>
      Для целей Нормативов под организациями, осуществляющими микрофинансовую деятельность, понимаются микрофинансовые</w:t>
      </w:r>
      <w:r>
        <w:rPr>
          <w:rFonts w:ascii="Times New Roman"/>
          <w:b w:val="false"/>
          <w:i w:val="false"/>
          <w:color w:val="000000"/>
          <w:sz w:val="28"/>
        </w:rPr>
        <w:t xml:space="preserve"> организации</w:t>
      </w:r>
      <w:r>
        <w:rPr>
          <w:rFonts w:ascii="Times New Roman"/>
          <w:b w:val="false"/>
          <w:i w:val="false"/>
          <w:color w:val="000000"/>
          <w:sz w:val="28"/>
        </w:rPr>
        <w:t>, кредитные товарищества и ломбарды, осуществляющие деятельность по предоставлению микрокредитов.</w:t>
      </w:r>
    </w:p>
    <w:bookmarkEnd w:id="15"/>
    <w:bookmarkStart w:name="z23" w:id="16"/>
    <w:p>
      <w:pPr>
        <w:spacing w:after="0"/>
        <w:ind w:left="0"/>
        <w:jc w:val="both"/>
      </w:pPr>
      <w:r>
        <w:rPr>
          <w:rFonts w:ascii="Times New Roman"/>
          <w:b w:val="false"/>
          <w:i w:val="false"/>
          <w:color w:val="000000"/>
          <w:sz w:val="28"/>
        </w:rPr>
        <w:t>
      2. В состав пруденциальных нормативов и иных обязательных к соблюдению организацией, осуществляющей микрофинансовую деятельность, норм и лимитов входят:</w:t>
      </w:r>
    </w:p>
    <w:bookmarkEnd w:id="16"/>
    <w:bookmarkStart w:name="z287" w:id="17"/>
    <w:p>
      <w:pPr>
        <w:spacing w:after="0"/>
        <w:ind w:left="0"/>
        <w:jc w:val="both"/>
      </w:pPr>
      <w:r>
        <w:rPr>
          <w:rFonts w:ascii="Times New Roman"/>
          <w:b w:val="false"/>
          <w:i w:val="false"/>
          <w:color w:val="000000"/>
          <w:sz w:val="28"/>
        </w:rPr>
        <w:t>
      1) для микрофинансовой организации:</w:t>
      </w:r>
    </w:p>
    <w:bookmarkEnd w:id="17"/>
    <w:bookmarkStart w:name="z288" w:id="18"/>
    <w:p>
      <w:pPr>
        <w:spacing w:after="0"/>
        <w:ind w:left="0"/>
        <w:jc w:val="both"/>
      </w:pPr>
      <w:r>
        <w:rPr>
          <w:rFonts w:ascii="Times New Roman"/>
          <w:b w:val="false"/>
          <w:i w:val="false"/>
          <w:color w:val="000000"/>
          <w:sz w:val="28"/>
        </w:rPr>
        <w:t>
      минимальный размер уставного капитала;</w:t>
      </w:r>
    </w:p>
    <w:bookmarkEnd w:id="18"/>
    <w:bookmarkStart w:name="z289" w:id="19"/>
    <w:p>
      <w:pPr>
        <w:spacing w:after="0"/>
        <w:ind w:left="0"/>
        <w:jc w:val="both"/>
      </w:pPr>
      <w:r>
        <w:rPr>
          <w:rFonts w:ascii="Times New Roman"/>
          <w:b w:val="false"/>
          <w:i w:val="false"/>
          <w:color w:val="000000"/>
          <w:sz w:val="28"/>
        </w:rPr>
        <w:t>
      минимальный размер собственного капитала;</w:t>
      </w:r>
    </w:p>
    <w:bookmarkEnd w:id="19"/>
    <w:bookmarkStart w:name="z290" w:id="20"/>
    <w:p>
      <w:pPr>
        <w:spacing w:after="0"/>
        <w:ind w:left="0"/>
        <w:jc w:val="both"/>
      </w:pPr>
      <w:r>
        <w:rPr>
          <w:rFonts w:ascii="Times New Roman"/>
          <w:b w:val="false"/>
          <w:i w:val="false"/>
          <w:color w:val="000000"/>
          <w:sz w:val="28"/>
        </w:rPr>
        <w:t>
      достаточность собственного капитала;</w:t>
      </w:r>
    </w:p>
    <w:bookmarkEnd w:id="20"/>
    <w:bookmarkStart w:name="z291" w:id="21"/>
    <w:p>
      <w:pPr>
        <w:spacing w:after="0"/>
        <w:ind w:left="0"/>
        <w:jc w:val="both"/>
      </w:pPr>
      <w:r>
        <w:rPr>
          <w:rFonts w:ascii="Times New Roman"/>
          <w:b w:val="false"/>
          <w:i w:val="false"/>
          <w:color w:val="000000"/>
          <w:sz w:val="28"/>
        </w:rPr>
        <w:t>
      максимальный размер риска на одного заемщика;</w:t>
      </w:r>
    </w:p>
    <w:bookmarkEnd w:id="21"/>
    <w:bookmarkStart w:name="z292" w:id="22"/>
    <w:p>
      <w:pPr>
        <w:spacing w:after="0"/>
        <w:ind w:left="0"/>
        <w:jc w:val="both"/>
      </w:pPr>
      <w:r>
        <w:rPr>
          <w:rFonts w:ascii="Times New Roman"/>
          <w:b w:val="false"/>
          <w:i w:val="false"/>
          <w:color w:val="000000"/>
          <w:sz w:val="28"/>
        </w:rPr>
        <w:t>
      коэффициент левереджа;</w:t>
      </w:r>
    </w:p>
    <w:bookmarkEnd w:id="22"/>
    <w:bookmarkStart w:name="z293" w:id="23"/>
    <w:p>
      <w:pPr>
        <w:spacing w:after="0"/>
        <w:ind w:left="0"/>
        <w:jc w:val="both"/>
      </w:pPr>
      <w:r>
        <w:rPr>
          <w:rFonts w:ascii="Times New Roman"/>
          <w:b w:val="false"/>
          <w:i w:val="false"/>
          <w:color w:val="000000"/>
          <w:sz w:val="28"/>
        </w:rPr>
        <w:t>
      коэффициент долга к доходу заемщика;</w:t>
      </w:r>
    </w:p>
    <w:bookmarkEnd w:id="23"/>
    <w:bookmarkStart w:name="z294" w:id="24"/>
    <w:p>
      <w:pPr>
        <w:spacing w:after="0"/>
        <w:ind w:left="0"/>
        <w:jc w:val="both"/>
      </w:pPr>
      <w:r>
        <w:rPr>
          <w:rFonts w:ascii="Times New Roman"/>
          <w:b w:val="false"/>
          <w:i w:val="false"/>
          <w:color w:val="000000"/>
          <w:sz w:val="28"/>
        </w:rPr>
        <w:t>
      2) для кредитного товарищества:</w:t>
      </w:r>
    </w:p>
    <w:bookmarkEnd w:id="24"/>
    <w:bookmarkStart w:name="z295" w:id="25"/>
    <w:p>
      <w:pPr>
        <w:spacing w:after="0"/>
        <w:ind w:left="0"/>
        <w:jc w:val="both"/>
      </w:pPr>
      <w:r>
        <w:rPr>
          <w:rFonts w:ascii="Times New Roman"/>
          <w:b w:val="false"/>
          <w:i w:val="false"/>
          <w:color w:val="000000"/>
          <w:sz w:val="28"/>
        </w:rPr>
        <w:t>
      минимальный размер уставного капитала;</w:t>
      </w:r>
    </w:p>
    <w:bookmarkEnd w:id="25"/>
    <w:bookmarkStart w:name="z296" w:id="26"/>
    <w:p>
      <w:pPr>
        <w:spacing w:after="0"/>
        <w:ind w:left="0"/>
        <w:jc w:val="both"/>
      </w:pPr>
      <w:r>
        <w:rPr>
          <w:rFonts w:ascii="Times New Roman"/>
          <w:b w:val="false"/>
          <w:i w:val="false"/>
          <w:color w:val="000000"/>
          <w:sz w:val="28"/>
        </w:rPr>
        <w:t>
      минимальный размер собственного капитала;</w:t>
      </w:r>
    </w:p>
    <w:bookmarkEnd w:id="26"/>
    <w:bookmarkStart w:name="z297" w:id="27"/>
    <w:p>
      <w:pPr>
        <w:spacing w:after="0"/>
        <w:ind w:left="0"/>
        <w:jc w:val="both"/>
      </w:pPr>
      <w:r>
        <w:rPr>
          <w:rFonts w:ascii="Times New Roman"/>
          <w:b w:val="false"/>
          <w:i w:val="false"/>
          <w:color w:val="000000"/>
          <w:sz w:val="28"/>
        </w:rPr>
        <w:t>
      коэффициент левереджа;</w:t>
      </w:r>
    </w:p>
    <w:bookmarkEnd w:id="27"/>
    <w:bookmarkStart w:name="z298" w:id="28"/>
    <w:p>
      <w:pPr>
        <w:spacing w:after="0"/>
        <w:ind w:left="0"/>
        <w:jc w:val="both"/>
      </w:pPr>
      <w:r>
        <w:rPr>
          <w:rFonts w:ascii="Times New Roman"/>
          <w:b w:val="false"/>
          <w:i w:val="false"/>
          <w:color w:val="000000"/>
          <w:sz w:val="28"/>
        </w:rPr>
        <w:t>
      3) для ломбарда – минимальный размер уставного капитала.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16.08.2024 </w:t>
      </w:r>
      <w:r>
        <w:rPr>
          <w:rFonts w:ascii="Times New Roman"/>
          <w:b w:val="false"/>
          <w:i w:val="false"/>
          <w:color w:val="000000"/>
          <w:sz w:val="28"/>
        </w:rPr>
        <w:t>№ 63</w:t>
      </w:r>
      <w:r>
        <w:rPr>
          <w:rFonts w:ascii="Times New Roman"/>
          <w:b w:val="false"/>
          <w:i w:val="false"/>
          <w:color w:val="ff0000"/>
          <w:sz w:val="28"/>
        </w:rPr>
        <w:t xml:space="preserve"> (вводится в действие с 20.08.2024).</w:t>
      </w:r>
      <w:r>
        <w:br/>
      </w:r>
      <w:r>
        <w:rPr>
          <w:rFonts w:ascii="Times New Roman"/>
          <w:b w:val="false"/>
          <w:i w:val="false"/>
          <w:color w:val="000000"/>
          <w:sz w:val="28"/>
        </w:rPr>
        <w:t>
</w:t>
      </w:r>
    </w:p>
    <w:bookmarkStart w:name="z34" w:id="29"/>
    <w:p>
      <w:pPr>
        <w:spacing w:after="0"/>
        <w:ind w:left="0"/>
        <w:jc w:val="left"/>
      </w:pPr>
      <w:r>
        <w:rPr>
          <w:rFonts w:ascii="Times New Roman"/>
          <w:b/>
          <w:i w:val="false"/>
          <w:color w:val="000000"/>
        </w:rPr>
        <w:t xml:space="preserve"> Глава 2. Минимальный размер уставного и собственного капитала организации, осуществляющей микрофинансовую деятельность</w:t>
      </w:r>
    </w:p>
    <w:bookmarkEnd w:id="29"/>
    <w:bookmarkStart w:name="z35" w:id="30"/>
    <w:p>
      <w:pPr>
        <w:spacing w:after="0"/>
        <w:ind w:left="0"/>
        <w:jc w:val="both"/>
      </w:pPr>
      <w:r>
        <w:rPr>
          <w:rFonts w:ascii="Times New Roman"/>
          <w:b w:val="false"/>
          <w:i w:val="false"/>
          <w:color w:val="000000"/>
          <w:sz w:val="28"/>
        </w:rPr>
        <w:t>
      3. Минимальный размер уставного капитала составляет:</w:t>
      </w:r>
    </w:p>
    <w:bookmarkEnd w:id="30"/>
    <w:bookmarkStart w:name="z219" w:id="31"/>
    <w:p>
      <w:pPr>
        <w:spacing w:after="0"/>
        <w:ind w:left="0"/>
        <w:jc w:val="both"/>
      </w:pPr>
      <w:r>
        <w:rPr>
          <w:rFonts w:ascii="Times New Roman"/>
          <w:b w:val="false"/>
          <w:i w:val="false"/>
          <w:color w:val="000000"/>
          <w:sz w:val="28"/>
        </w:rPr>
        <w:t xml:space="preserve">
      1) для микрофинансовой организации – 100 000 000 (сто миллионов) тенге, за исключением следующих случаев: </w:t>
      </w:r>
    </w:p>
    <w:bookmarkEnd w:id="31"/>
    <w:bookmarkStart w:name="z220" w:id="32"/>
    <w:p>
      <w:pPr>
        <w:spacing w:after="0"/>
        <w:ind w:left="0"/>
        <w:jc w:val="both"/>
      </w:pPr>
      <w:r>
        <w:rPr>
          <w:rFonts w:ascii="Times New Roman"/>
          <w:b w:val="false"/>
          <w:i w:val="false"/>
          <w:color w:val="000000"/>
          <w:sz w:val="28"/>
        </w:rPr>
        <w:t>
      с 1 июля 2023 года – 150 000 000 (сто пятьдесят миллионов) тенге;</w:t>
      </w:r>
    </w:p>
    <w:bookmarkEnd w:id="32"/>
    <w:bookmarkStart w:name="z221" w:id="33"/>
    <w:p>
      <w:pPr>
        <w:spacing w:after="0"/>
        <w:ind w:left="0"/>
        <w:jc w:val="both"/>
      </w:pPr>
      <w:r>
        <w:rPr>
          <w:rFonts w:ascii="Times New Roman"/>
          <w:b w:val="false"/>
          <w:i w:val="false"/>
          <w:color w:val="000000"/>
          <w:sz w:val="28"/>
        </w:rPr>
        <w:t xml:space="preserve">
      с 1 января 2024 года – 200 000 000 (двести миллионов) тенге; </w:t>
      </w:r>
    </w:p>
    <w:bookmarkEnd w:id="33"/>
    <w:bookmarkStart w:name="z222" w:id="34"/>
    <w:p>
      <w:pPr>
        <w:spacing w:after="0"/>
        <w:ind w:left="0"/>
        <w:jc w:val="both"/>
      </w:pPr>
      <w:r>
        <w:rPr>
          <w:rFonts w:ascii="Times New Roman"/>
          <w:b w:val="false"/>
          <w:i w:val="false"/>
          <w:color w:val="000000"/>
          <w:sz w:val="28"/>
        </w:rPr>
        <w:t>
      для микрофинансовой организации, прошедшей учетную регистрацию в уполномоченном органе по регулированию, контролю и надзору финансового рынка и финансовых организаций (далее – уполномоченный орган) до 1 января 2020 года, минимальный размер уставного капитала составляет:</w:t>
      </w:r>
    </w:p>
    <w:bookmarkEnd w:id="34"/>
    <w:bookmarkStart w:name="z223" w:id="35"/>
    <w:p>
      <w:pPr>
        <w:spacing w:after="0"/>
        <w:ind w:left="0"/>
        <w:jc w:val="both"/>
      </w:pPr>
      <w:r>
        <w:rPr>
          <w:rFonts w:ascii="Times New Roman"/>
          <w:b w:val="false"/>
          <w:i w:val="false"/>
          <w:color w:val="000000"/>
          <w:sz w:val="28"/>
        </w:rPr>
        <w:t>
      с 1 января 2020 года – 30 000 000 (тридцать миллионов) тенге;</w:t>
      </w:r>
    </w:p>
    <w:bookmarkEnd w:id="35"/>
    <w:bookmarkStart w:name="z224" w:id="36"/>
    <w:p>
      <w:pPr>
        <w:spacing w:after="0"/>
        <w:ind w:left="0"/>
        <w:jc w:val="both"/>
      </w:pPr>
      <w:r>
        <w:rPr>
          <w:rFonts w:ascii="Times New Roman"/>
          <w:b w:val="false"/>
          <w:i w:val="false"/>
          <w:color w:val="000000"/>
          <w:sz w:val="28"/>
        </w:rPr>
        <w:t>
      с 1 января 2021 года – 50 000 000 (пятьдесят миллионов) тенге;</w:t>
      </w:r>
    </w:p>
    <w:bookmarkEnd w:id="36"/>
    <w:bookmarkStart w:name="z225" w:id="37"/>
    <w:p>
      <w:pPr>
        <w:spacing w:after="0"/>
        <w:ind w:left="0"/>
        <w:jc w:val="both"/>
      </w:pPr>
      <w:r>
        <w:rPr>
          <w:rFonts w:ascii="Times New Roman"/>
          <w:b w:val="false"/>
          <w:i w:val="false"/>
          <w:color w:val="000000"/>
          <w:sz w:val="28"/>
        </w:rPr>
        <w:t>
      с 1 января 2022 года – 70 000 000 (семьдесят миллионов) тенге;</w:t>
      </w:r>
    </w:p>
    <w:bookmarkEnd w:id="37"/>
    <w:bookmarkStart w:name="z226" w:id="38"/>
    <w:p>
      <w:pPr>
        <w:spacing w:after="0"/>
        <w:ind w:left="0"/>
        <w:jc w:val="both"/>
      </w:pPr>
      <w:r>
        <w:rPr>
          <w:rFonts w:ascii="Times New Roman"/>
          <w:b w:val="false"/>
          <w:i w:val="false"/>
          <w:color w:val="000000"/>
          <w:sz w:val="28"/>
        </w:rPr>
        <w:t>
      с 1 января 2023 года – 100 000 000 (сто миллионов) тенге;</w:t>
      </w:r>
    </w:p>
    <w:bookmarkEnd w:id="38"/>
    <w:bookmarkStart w:name="z227" w:id="39"/>
    <w:p>
      <w:pPr>
        <w:spacing w:after="0"/>
        <w:ind w:left="0"/>
        <w:jc w:val="both"/>
      </w:pPr>
      <w:r>
        <w:rPr>
          <w:rFonts w:ascii="Times New Roman"/>
          <w:b w:val="false"/>
          <w:i w:val="false"/>
          <w:color w:val="000000"/>
          <w:sz w:val="28"/>
        </w:rPr>
        <w:t>
      с 1 июля 2023 года – 150 000 000 (сто пятьдесят миллионов) тенге;</w:t>
      </w:r>
    </w:p>
    <w:bookmarkEnd w:id="39"/>
    <w:bookmarkStart w:name="z228" w:id="40"/>
    <w:p>
      <w:pPr>
        <w:spacing w:after="0"/>
        <w:ind w:left="0"/>
        <w:jc w:val="both"/>
      </w:pPr>
      <w:r>
        <w:rPr>
          <w:rFonts w:ascii="Times New Roman"/>
          <w:b w:val="false"/>
          <w:i w:val="false"/>
          <w:color w:val="000000"/>
          <w:sz w:val="28"/>
        </w:rPr>
        <w:t xml:space="preserve">
      с 1 января 2024 года – 200 000 000 (двести миллионов) тенге; </w:t>
      </w:r>
    </w:p>
    <w:bookmarkEnd w:id="40"/>
    <w:bookmarkStart w:name="z229" w:id="41"/>
    <w:p>
      <w:pPr>
        <w:spacing w:after="0"/>
        <w:ind w:left="0"/>
        <w:jc w:val="both"/>
      </w:pPr>
      <w:r>
        <w:rPr>
          <w:rFonts w:ascii="Times New Roman"/>
          <w:b w:val="false"/>
          <w:i w:val="false"/>
          <w:color w:val="000000"/>
          <w:sz w:val="28"/>
        </w:rPr>
        <w:t>
      2) для кредитного товарищества – 50 000 000 (пятьдесят миллионов) тенге, за исключением:</w:t>
      </w:r>
    </w:p>
    <w:bookmarkEnd w:id="41"/>
    <w:bookmarkStart w:name="z230" w:id="42"/>
    <w:p>
      <w:pPr>
        <w:spacing w:after="0"/>
        <w:ind w:left="0"/>
        <w:jc w:val="both"/>
      </w:pPr>
      <w:r>
        <w:rPr>
          <w:rFonts w:ascii="Times New Roman"/>
          <w:b w:val="false"/>
          <w:i w:val="false"/>
          <w:color w:val="000000"/>
          <w:sz w:val="28"/>
        </w:rPr>
        <w:t>
      кредитного товарищества, прошедшего государственную регистрацию в качестве кредитного товарищества до 1 января 2020 года и осуществляющего свою деятельность в городах Астане, Алматы, Шымкенте или областном центре, для которого минимальный размер уставного капитала составляет:</w:t>
      </w:r>
    </w:p>
    <w:bookmarkEnd w:id="42"/>
    <w:bookmarkStart w:name="z231" w:id="43"/>
    <w:p>
      <w:pPr>
        <w:spacing w:after="0"/>
        <w:ind w:left="0"/>
        <w:jc w:val="both"/>
      </w:pPr>
      <w:r>
        <w:rPr>
          <w:rFonts w:ascii="Times New Roman"/>
          <w:b w:val="false"/>
          <w:i w:val="false"/>
          <w:color w:val="000000"/>
          <w:sz w:val="28"/>
        </w:rPr>
        <w:t>
      с 1 января 2020 года – 10 000 000 (десять миллионов) тенге;</w:t>
      </w:r>
    </w:p>
    <w:bookmarkEnd w:id="43"/>
    <w:bookmarkStart w:name="z232" w:id="44"/>
    <w:p>
      <w:pPr>
        <w:spacing w:after="0"/>
        <w:ind w:left="0"/>
        <w:jc w:val="both"/>
      </w:pPr>
      <w:r>
        <w:rPr>
          <w:rFonts w:ascii="Times New Roman"/>
          <w:b w:val="false"/>
          <w:i w:val="false"/>
          <w:color w:val="000000"/>
          <w:sz w:val="28"/>
        </w:rPr>
        <w:t>
      с 1 июля 2020 года – 20 000 000 (двадцать миллионов) тенге;</w:t>
      </w:r>
    </w:p>
    <w:bookmarkEnd w:id="44"/>
    <w:bookmarkStart w:name="z233" w:id="45"/>
    <w:p>
      <w:pPr>
        <w:spacing w:after="0"/>
        <w:ind w:left="0"/>
        <w:jc w:val="both"/>
      </w:pPr>
      <w:r>
        <w:rPr>
          <w:rFonts w:ascii="Times New Roman"/>
          <w:b w:val="false"/>
          <w:i w:val="false"/>
          <w:color w:val="000000"/>
          <w:sz w:val="28"/>
        </w:rPr>
        <w:t>
      с 1 июля 2021 года – 30 000 000 (тридцать миллионов) тенге;</w:t>
      </w:r>
    </w:p>
    <w:bookmarkEnd w:id="45"/>
    <w:bookmarkStart w:name="z234" w:id="46"/>
    <w:p>
      <w:pPr>
        <w:spacing w:after="0"/>
        <w:ind w:left="0"/>
        <w:jc w:val="both"/>
      </w:pPr>
      <w:r>
        <w:rPr>
          <w:rFonts w:ascii="Times New Roman"/>
          <w:b w:val="false"/>
          <w:i w:val="false"/>
          <w:color w:val="000000"/>
          <w:sz w:val="28"/>
        </w:rPr>
        <w:t>
      с 1 июля 2022 года – 50 000 000 (пятьдесят миллионов) тенге;</w:t>
      </w:r>
    </w:p>
    <w:bookmarkEnd w:id="46"/>
    <w:bookmarkStart w:name="z235" w:id="47"/>
    <w:p>
      <w:pPr>
        <w:spacing w:after="0"/>
        <w:ind w:left="0"/>
        <w:jc w:val="both"/>
      </w:pPr>
      <w:r>
        <w:rPr>
          <w:rFonts w:ascii="Times New Roman"/>
          <w:b w:val="false"/>
          <w:i w:val="false"/>
          <w:color w:val="000000"/>
          <w:sz w:val="28"/>
        </w:rPr>
        <w:t>
      кредитного товарищества, прошедшего государственную регистрацию в качестве кредитного товарищества до 1 января 2021 года и осуществляющего свою деятельность вне городов Астаны, Алматы, Шымкента или областного центра, для которого минимальный размер уставного капитала составляет:</w:t>
      </w:r>
    </w:p>
    <w:bookmarkEnd w:id="47"/>
    <w:bookmarkStart w:name="z236" w:id="48"/>
    <w:p>
      <w:pPr>
        <w:spacing w:after="0"/>
        <w:ind w:left="0"/>
        <w:jc w:val="both"/>
      </w:pPr>
      <w:r>
        <w:rPr>
          <w:rFonts w:ascii="Times New Roman"/>
          <w:b w:val="false"/>
          <w:i w:val="false"/>
          <w:color w:val="000000"/>
          <w:sz w:val="28"/>
        </w:rPr>
        <w:t>
      с 1 января 2020 года – 5 000 000 (пять миллионов) тенге;</w:t>
      </w:r>
    </w:p>
    <w:bookmarkEnd w:id="48"/>
    <w:bookmarkStart w:name="z237" w:id="49"/>
    <w:p>
      <w:pPr>
        <w:spacing w:after="0"/>
        <w:ind w:left="0"/>
        <w:jc w:val="both"/>
      </w:pPr>
      <w:r>
        <w:rPr>
          <w:rFonts w:ascii="Times New Roman"/>
          <w:b w:val="false"/>
          <w:i w:val="false"/>
          <w:color w:val="000000"/>
          <w:sz w:val="28"/>
        </w:rPr>
        <w:t>
      с 1 января 2021 года – 10 000 000 (десять миллионов) тенге;</w:t>
      </w:r>
    </w:p>
    <w:bookmarkEnd w:id="49"/>
    <w:bookmarkStart w:name="z238" w:id="50"/>
    <w:p>
      <w:pPr>
        <w:spacing w:after="0"/>
        <w:ind w:left="0"/>
        <w:jc w:val="both"/>
      </w:pPr>
      <w:r>
        <w:rPr>
          <w:rFonts w:ascii="Times New Roman"/>
          <w:b w:val="false"/>
          <w:i w:val="false"/>
          <w:color w:val="000000"/>
          <w:sz w:val="28"/>
        </w:rPr>
        <w:t>
      с 1 января 2022 года – 15 000 000 (пятнадцать миллионов) тенге;</w:t>
      </w:r>
    </w:p>
    <w:bookmarkEnd w:id="50"/>
    <w:bookmarkStart w:name="z239" w:id="51"/>
    <w:p>
      <w:pPr>
        <w:spacing w:after="0"/>
        <w:ind w:left="0"/>
        <w:jc w:val="both"/>
      </w:pPr>
      <w:r>
        <w:rPr>
          <w:rFonts w:ascii="Times New Roman"/>
          <w:b w:val="false"/>
          <w:i w:val="false"/>
          <w:color w:val="000000"/>
          <w:sz w:val="28"/>
        </w:rPr>
        <w:t>
      с 1 января 2023 года – 25 000 000 (двадцать пять миллионов) тенге;</w:t>
      </w:r>
    </w:p>
    <w:bookmarkEnd w:id="51"/>
    <w:bookmarkStart w:name="z240" w:id="52"/>
    <w:p>
      <w:pPr>
        <w:spacing w:after="0"/>
        <w:ind w:left="0"/>
        <w:jc w:val="both"/>
      </w:pPr>
      <w:r>
        <w:rPr>
          <w:rFonts w:ascii="Times New Roman"/>
          <w:b w:val="false"/>
          <w:i w:val="false"/>
          <w:color w:val="000000"/>
          <w:sz w:val="28"/>
        </w:rPr>
        <w:t>
      3) для ломбарда – 70 000 000 (семьдесят миллионов) тенге, за исключением ломбарда, прошедшего государственную регистрацию в качестве ломбарда до 1 января 2020 года, для которого минимальный размер уставного капитала составляет:</w:t>
      </w:r>
    </w:p>
    <w:bookmarkEnd w:id="52"/>
    <w:bookmarkStart w:name="z241" w:id="53"/>
    <w:p>
      <w:pPr>
        <w:spacing w:after="0"/>
        <w:ind w:left="0"/>
        <w:jc w:val="both"/>
      </w:pPr>
      <w:r>
        <w:rPr>
          <w:rFonts w:ascii="Times New Roman"/>
          <w:b w:val="false"/>
          <w:i w:val="false"/>
          <w:color w:val="000000"/>
          <w:sz w:val="28"/>
        </w:rPr>
        <w:t>
      с 1 января 2020 года – 10 000 000 (десять миллионов) тенге;</w:t>
      </w:r>
    </w:p>
    <w:bookmarkEnd w:id="53"/>
    <w:bookmarkStart w:name="z242" w:id="54"/>
    <w:p>
      <w:pPr>
        <w:spacing w:after="0"/>
        <w:ind w:left="0"/>
        <w:jc w:val="both"/>
      </w:pPr>
      <w:r>
        <w:rPr>
          <w:rFonts w:ascii="Times New Roman"/>
          <w:b w:val="false"/>
          <w:i w:val="false"/>
          <w:color w:val="000000"/>
          <w:sz w:val="28"/>
        </w:rPr>
        <w:t>
      с 1 января 2021 года – 30 000 000 (тридцать миллионов) тенге;</w:t>
      </w:r>
    </w:p>
    <w:bookmarkEnd w:id="54"/>
    <w:bookmarkStart w:name="z243" w:id="55"/>
    <w:p>
      <w:pPr>
        <w:spacing w:after="0"/>
        <w:ind w:left="0"/>
        <w:jc w:val="both"/>
      </w:pPr>
      <w:r>
        <w:rPr>
          <w:rFonts w:ascii="Times New Roman"/>
          <w:b w:val="false"/>
          <w:i w:val="false"/>
          <w:color w:val="000000"/>
          <w:sz w:val="28"/>
        </w:rPr>
        <w:t>
      с 1 января 2022 года – 30 000 000 (тридцать миллионов) тенге;</w:t>
      </w:r>
    </w:p>
    <w:bookmarkEnd w:id="55"/>
    <w:bookmarkStart w:name="z244" w:id="56"/>
    <w:p>
      <w:pPr>
        <w:spacing w:after="0"/>
        <w:ind w:left="0"/>
        <w:jc w:val="both"/>
      </w:pPr>
      <w:r>
        <w:rPr>
          <w:rFonts w:ascii="Times New Roman"/>
          <w:b w:val="false"/>
          <w:i w:val="false"/>
          <w:color w:val="000000"/>
          <w:sz w:val="28"/>
        </w:rPr>
        <w:t>
      с 1 января 2024 года – 50 000 000 (пятьдесят миллионов) тенге.</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07.06.2023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57"/>
    <w:p>
      <w:pPr>
        <w:spacing w:after="0"/>
        <w:ind w:left="0"/>
        <w:jc w:val="both"/>
      </w:pPr>
      <w:r>
        <w:rPr>
          <w:rFonts w:ascii="Times New Roman"/>
          <w:b w:val="false"/>
          <w:i w:val="false"/>
          <w:color w:val="000000"/>
          <w:sz w:val="28"/>
        </w:rPr>
        <w:t xml:space="preserve">
      3-1. Ломбардам, осуществлявшим свою деятельность до 1 января 2020 года и пополнившим уставный капитал имуществом до указанного срока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22 апреля 1998 года "О товариществах с ограниченной и дополнительной ответственностью", допускается включать в расчет уставного капитала сумму капитала, внесенного имуществом, в том числе деньгами.</w:t>
      </w:r>
    </w:p>
    <w:bookmarkEnd w:id="57"/>
    <w:p>
      <w:pPr>
        <w:spacing w:after="0"/>
        <w:ind w:left="0"/>
        <w:jc w:val="both"/>
      </w:pPr>
      <w:r>
        <w:rPr>
          <w:rFonts w:ascii="Times New Roman"/>
          <w:b w:val="false"/>
          <w:i w:val="false"/>
          <w:color w:val="000000"/>
          <w:sz w:val="28"/>
        </w:rPr>
        <w:t>
      Ломбардам, осуществлявшим свою деятельность до 1 января 2020 года и находящимся в процессе реорганизации в одно юридическое лицо, допускается в расчет уставного капитала включать сумму капиталов реорганизованных ломбардов.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Пруденциальные нормативы дополнены пунктом 3-1 в соответствии с постановлением Правления Агентства РК по регулированию и развитию финансового рынка от 03.08.2020 </w:t>
      </w:r>
      <w:r>
        <w:rPr>
          <w:rFonts w:ascii="Times New Roman"/>
          <w:b w:val="false"/>
          <w:i w:val="false"/>
          <w:color w:val="000000"/>
          <w:sz w:val="28"/>
        </w:rPr>
        <w:t>№ 71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2" w:id="58"/>
    <w:p>
      <w:pPr>
        <w:spacing w:after="0"/>
        <w:ind w:left="0"/>
        <w:jc w:val="both"/>
      </w:pPr>
      <w:r>
        <w:rPr>
          <w:rFonts w:ascii="Times New Roman"/>
          <w:b w:val="false"/>
          <w:i w:val="false"/>
          <w:color w:val="000000"/>
          <w:sz w:val="28"/>
        </w:rPr>
        <w:t>
      4. Минимальный размер собственного капитала составляет:</w:t>
      </w:r>
    </w:p>
    <w:bookmarkEnd w:id="58"/>
    <w:bookmarkStart w:name="z245" w:id="59"/>
    <w:p>
      <w:pPr>
        <w:spacing w:after="0"/>
        <w:ind w:left="0"/>
        <w:jc w:val="both"/>
      </w:pPr>
      <w:r>
        <w:rPr>
          <w:rFonts w:ascii="Times New Roman"/>
          <w:b w:val="false"/>
          <w:i w:val="false"/>
          <w:color w:val="000000"/>
          <w:sz w:val="28"/>
        </w:rPr>
        <w:t>
      1) для микрофинансовой организации – 100 000 000 (сто миллионов) тенге, за исключением следующих случаев:</w:t>
      </w:r>
    </w:p>
    <w:bookmarkEnd w:id="59"/>
    <w:bookmarkStart w:name="z246" w:id="60"/>
    <w:p>
      <w:pPr>
        <w:spacing w:after="0"/>
        <w:ind w:left="0"/>
        <w:jc w:val="both"/>
      </w:pPr>
      <w:r>
        <w:rPr>
          <w:rFonts w:ascii="Times New Roman"/>
          <w:b w:val="false"/>
          <w:i w:val="false"/>
          <w:color w:val="000000"/>
          <w:sz w:val="28"/>
        </w:rPr>
        <w:t>
      с 1 июля 2023 года – 150 000 000 (сто пятьдесят миллионов) тенге;</w:t>
      </w:r>
    </w:p>
    <w:bookmarkEnd w:id="60"/>
    <w:bookmarkStart w:name="z247" w:id="61"/>
    <w:p>
      <w:pPr>
        <w:spacing w:after="0"/>
        <w:ind w:left="0"/>
        <w:jc w:val="both"/>
      </w:pPr>
      <w:r>
        <w:rPr>
          <w:rFonts w:ascii="Times New Roman"/>
          <w:b w:val="false"/>
          <w:i w:val="false"/>
          <w:color w:val="000000"/>
          <w:sz w:val="28"/>
        </w:rPr>
        <w:t>
      с 1 января 2024 года – 200 000 000 (двести миллионов) тенге;</w:t>
      </w:r>
    </w:p>
    <w:bookmarkEnd w:id="61"/>
    <w:bookmarkStart w:name="z248" w:id="62"/>
    <w:p>
      <w:pPr>
        <w:spacing w:after="0"/>
        <w:ind w:left="0"/>
        <w:jc w:val="both"/>
      </w:pPr>
      <w:r>
        <w:rPr>
          <w:rFonts w:ascii="Times New Roman"/>
          <w:b w:val="false"/>
          <w:i w:val="false"/>
          <w:color w:val="000000"/>
          <w:sz w:val="28"/>
        </w:rPr>
        <w:t>
      для микрофинансовой организации, прошедшей учетную регистрацию в уполномоченном органе до 1 января 2020 года, минимальный размер собственного капитала составляет:</w:t>
      </w:r>
    </w:p>
    <w:bookmarkEnd w:id="62"/>
    <w:bookmarkStart w:name="z249" w:id="63"/>
    <w:p>
      <w:pPr>
        <w:spacing w:after="0"/>
        <w:ind w:left="0"/>
        <w:jc w:val="both"/>
      </w:pPr>
      <w:r>
        <w:rPr>
          <w:rFonts w:ascii="Times New Roman"/>
          <w:b w:val="false"/>
          <w:i w:val="false"/>
          <w:color w:val="000000"/>
          <w:sz w:val="28"/>
        </w:rPr>
        <w:t>
      с 1 января 2020 года – 30 000 000 (тридцать миллионов) тенге;</w:t>
      </w:r>
    </w:p>
    <w:bookmarkEnd w:id="63"/>
    <w:bookmarkStart w:name="z250" w:id="64"/>
    <w:p>
      <w:pPr>
        <w:spacing w:after="0"/>
        <w:ind w:left="0"/>
        <w:jc w:val="both"/>
      </w:pPr>
      <w:r>
        <w:rPr>
          <w:rFonts w:ascii="Times New Roman"/>
          <w:b w:val="false"/>
          <w:i w:val="false"/>
          <w:color w:val="000000"/>
          <w:sz w:val="28"/>
        </w:rPr>
        <w:t>
      с 1 января 2021 года – 50 000 000 (пятьдесят миллионов) тенге;</w:t>
      </w:r>
    </w:p>
    <w:bookmarkEnd w:id="64"/>
    <w:bookmarkStart w:name="z251" w:id="65"/>
    <w:p>
      <w:pPr>
        <w:spacing w:after="0"/>
        <w:ind w:left="0"/>
        <w:jc w:val="both"/>
      </w:pPr>
      <w:r>
        <w:rPr>
          <w:rFonts w:ascii="Times New Roman"/>
          <w:b w:val="false"/>
          <w:i w:val="false"/>
          <w:color w:val="000000"/>
          <w:sz w:val="28"/>
        </w:rPr>
        <w:t>
      с 1 января 2022 года – 70 000 000 (семьдесят миллионов) тенге;</w:t>
      </w:r>
    </w:p>
    <w:bookmarkEnd w:id="65"/>
    <w:bookmarkStart w:name="z252" w:id="66"/>
    <w:p>
      <w:pPr>
        <w:spacing w:after="0"/>
        <w:ind w:left="0"/>
        <w:jc w:val="both"/>
      </w:pPr>
      <w:r>
        <w:rPr>
          <w:rFonts w:ascii="Times New Roman"/>
          <w:b w:val="false"/>
          <w:i w:val="false"/>
          <w:color w:val="000000"/>
          <w:sz w:val="28"/>
        </w:rPr>
        <w:t>
      с 1 января 2023 года – 100 000 000 (сто миллионов) тенге;</w:t>
      </w:r>
    </w:p>
    <w:bookmarkEnd w:id="66"/>
    <w:bookmarkStart w:name="z253" w:id="67"/>
    <w:p>
      <w:pPr>
        <w:spacing w:after="0"/>
        <w:ind w:left="0"/>
        <w:jc w:val="both"/>
      </w:pPr>
      <w:r>
        <w:rPr>
          <w:rFonts w:ascii="Times New Roman"/>
          <w:b w:val="false"/>
          <w:i w:val="false"/>
          <w:color w:val="000000"/>
          <w:sz w:val="28"/>
        </w:rPr>
        <w:t>
      с 1 июля 2023 года – 150 000 000 (сто пятьдесят миллионов) тенге;</w:t>
      </w:r>
    </w:p>
    <w:bookmarkEnd w:id="67"/>
    <w:bookmarkStart w:name="z254" w:id="68"/>
    <w:p>
      <w:pPr>
        <w:spacing w:after="0"/>
        <w:ind w:left="0"/>
        <w:jc w:val="both"/>
      </w:pPr>
      <w:r>
        <w:rPr>
          <w:rFonts w:ascii="Times New Roman"/>
          <w:b w:val="false"/>
          <w:i w:val="false"/>
          <w:color w:val="000000"/>
          <w:sz w:val="28"/>
        </w:rPr>
        <w:t>
      с 1 января 2024 года – 200 000 000 (двести миллионов) тенге;</w:t>
      </w:r>
    </w:p>
    <w:bookmarkEnd w:id="68"/>
    <w:bookmarkStart w:name="z255" w:id="69"/>
    <w:p>
      <w:pPr>
        <w:spacing w:after="0"/>
        <w:ind w:left="0"/>
        <w:jc w:val="both"/>
      </w:pPr>
      <w:r>
        <w:rPr>
          <w:rFonts w:ascii="Times New Roman"/>
          <w:b w:val="false"/>
          <w:i w:val="false"/>
          <w:color w:val="000000"/>
          <w:sz w:val="28"/>
        </w:rPr>
        <w:t>
      2) для кредитного товарищества – 50 000 000 (пятьдесят миллионов) тенге, за исключением:</w:t>
      </w:r>
    </w:p>
    <w:bookmarkEnd w:id="69"/>
    <w:bookmarkStart w:name="z256" w:id="70"/>
    <w:p>
      <w:pPr>
        <w:spacing w:after="0"/>
        <w:ind w:left="0"/>
        <w:jc w:val="both"/>
      </w:pPr>
      <w:r>
        <w:rPr>
          <w:rFonts w:ascii="Times New Roman"/>
          <w:b w:val="false"/>
          <w:i w:val="false"/>
          <w:color w:val="000000"/>
          <w:sz w:val="28"/>
        </w:rPr>
        <w:t>
      кредитного товарищества, прошедшего государственную регистрацию в качестве кредитного товарищества до 1 января 2020 года и осуществляющего свою деятельность в городах Астане, Алматы, Шымкенте или областном центре, для которого минимальный размер собственного капитала составляет:</w:t>
      </w:r>
    </w:p>
    <w:bookmarkEnd w:id="70"/>
    <w:bookmarkStart w:name="z257" w:id="71"/>
    <w:p>
      <w:pPr>
        <w:spacing w:after="0"/>
        <w:ind w:left="0"/>
        <w:jc w:val="both"/>
      </w:pPr>
      <w:r>
        <w:rPr>
          <w:rFonts w:ascii="Times New Roman"/>
          <w:b w:val="false"/>
          <w:i w:val="false"/>
          <w:color w:val="000000"/>
          <w:sz w:val="28"/>
        </w:rPr>
        <w:t>
      с 1 января 2020 года – 10 000 000 (десять миллионов) тенге;</w:t>
      </w:r>
    </w:p>
    <w:bookmarkEnd w:id="71"/>
    <w:bookmarkStart w:name="z258" w:id="72"/>
    <w:p>
      <w:pPr>
        <w:spacing w:after="0"/>
        <w:ind w:left="0"/>
        <w:jc w:val="both"/>
      </w:pPr>
      <w:r>
        <w:rPr>
          <w:rFonts w:ascii="Times New Roman"/>
          <w:b w:val="false"/>
          <w:i w:val="false"/>
          <w:color w:val="000000"/>
          <w:sz w:val="28"/>
        </w:rPr>
        <w:t>
      с 1 июля 2020 года – 20 000 000 (двадцать миллионов) тенге;</w:t>
      </w:r>
    </w:p>
    <w:bookmarkEnd w:id="72"/>
    <w:bookmarkStart w:name="z259" w:id="73"/>
    <w:p>
      <w:pPr>
        <w:spacing w:after="0"/>
        <w:ind w:left="0"/>
        <w:jc w:val="both"/>
      </w:pPr>
      <w:r>
        <w:rPr>
          <w:rFonts w:ascii="Times New Roman"/>
          <w:b w:val="false"/>
          <w:i w:val="false"/>
          <w:color w:val="000000"/>
          <w:sz w:val="28"/>
        </w:rPr>
        <w:t>
      с 1 июля 2021 года – 30 000 000 (тридцать миллионов) тенге;</w:t>
      </w:r>
    </w:p>
    <w:bookmarkEnd w:id="73"/>
    <w:bookmarkStart w:name="z260" w:id="74"/>
    <w:p>
      <w:pPr>
        <w:spacing w:after="0"/>
        <w:ind w:left="0"/>
        <w:jc w:val="both"/>
      </w:pPr>
      <w:r>
        <w:rPr>
          <w:rFonts w:ascii="Times New Roman"/>
          <w:b w:val="false"/>
          <w:i w:val="false"/>
          <w:color w:val="000000"/>
          <w:sz w:val="28"/>
        </w:rPr>
        <w:t>
      с 1 июля 2022 года – 50 000 000 (пятьдесят миллионов) тенге;</w:t>
      </w:r>
    </w:p>
    <w:bookmarkEnd w:id="74"/>
    <w:bookmarkStart w:name="z261" w:id="75"/>
    <w:p>
      <w:pPr>
        <w:spacing w:after="0"/>
        <w:ind w:left="0"/>
        <w:jc w:val="both"/>
      </w:pPr>
      <w:r>
        <w:rPr>
          <w:rFonts w:ascii="Times New Roman"/>
          <w:b w:val="false"/>
          <w:i w:val="false"/>
          <w:color w:val="000000"/>
          <w:sz w:val="28"/>
        </w:rPr>
        <w:t>
      кредитного товарищества, прошедшего государственную регистрацию в качестве кредитного товарищества до 1 января 2021 года и осуществляющего свою деятельность вне городов Астаны, Алматы, Шымкента или областного центра, для которого минимальный размер собственного капитала составляет:</w:t>
      </w:r>
    </w:p>
    <w:bookmarkEnd w:id="75"/>
    <w:bookmarkStart w:name="z262" w:id="76"/>
    <w:p>
      <w:pPr>
        <w:spacing w:after="0"/>
        <w:ind w:left="0"/>
        <w:jc w:val="both"/>
      </w:pPr>
      <w:r>
        <w:rPr>
          <w:rFonts w:ascii="Times New Roman"/>
          <w:b w:val="false"/>
          <w:i w:val="false"/>
          <w:color w:val="000000"/>
          <w:sz w:val="28"/>
        </w:rPr>
        <w:t>
      с 1 января 2020 года – 5 000 000 (пять миллионов) тенге;</w:t>
      </w:r>
    </w:p>
    <w:bookmarkEnd w:id="76"/>
    <w:bookmarkStart w:name="z263" w:id="77"/>
    <w:p>
      <w:pPr>
        <w:spacing w:after="0"/>
        <w:ind w:left="0"/>
        <w:jc w:val="both"/>
      </w:pPr>
      <w:r>
        <w:rPr>
          <w:rFonts w:ascii="Times New Roman"/>
          <w:b w:val="false"/>
          <w:i w:val="false"/>
          <w:color w:val="000000"/>
          <w:sz w:val="28"/>
        </w:rPr>
        <w:t>
      с 1 января 2021 года – 10 000 000 (десять миллионов) тенге;</w:t>
      </w:r>
    </w:p>
    <w:bookmarkEnd w:id="77"/>
    <w:bookmarkStart w:name="z264" w:id="78"/>
    <w:p>
      <w:pPr>
        <w:spacing w:after="0"/>
        <w:ind w:left="0"/>
        <w:jc w:val="both"/>
      </w:pPr>
      <w:r>
        <w:rPr>
          <w:rFonts w:ascii="Times New Roman"/>
          <w:b w:val="false"/>
          <w:i w:val="false"/>
          <w:color w:val="000000"/>
          <w:sz w:val="28"/>
        </w:rPr>
        <w:t>
      с 1 января 2022 года – 15 000 000 (пятнадцать миллионов) тенге;</w:t>
      </w:r>
    </w:p>
    <w:bookmarkEnd w:id="78"/>
    <w:bookmarkStart w:name="z265" w:id="79"/>
    <w:p>
      <w:pPr>
        <w:spacing w:after="0"/>
        <w:ind w:left="0"/>
        <w:jc w:val="both"/>
      </w:pPr>
      <w:r>
        <w:rPr>
          <w:rFonts w:ascii="Times New Roman"/>
          <w:b w:val="false"/>
          <w:i w:val="false"/>
          <w:color w:val="000000"/>
          <w:sz w:val="28"/>
        </w:rPr>
        <w:t>
      с 1 января 2023 года – 25 000 000 (двадцать пять миллионов) тенге.</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07.06.2023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80"/>
    <w:p>
      <w:pPr>
        <w:spacing w:after="0"/>
        <w:ind w:left="0"/>
        <w:jc w:val="left"/>
      </w:pPr>
      <w:r>
        <w:rPr>
          <w:rFonts w:ascii="Times New Roman"/>
          <w:b/>
          <w:i w:val="false"/>
          <w:color w:val="000000"/>
        </w:rPr>
        <w:t xml:space="preserve"> Глава 3. Методика расчета пруденциальных нормативов и иных обязательных к соблюдению организацией, осуществляющей микрофинансовую деятельность, норм и лимитов</w:t>
      </w:r>
    </w:p>
    <w:bookmarkEnd w:id="80"/>
    <w:bookmarkStart w:name="z70" w:id="81"/>
    <w:p>
      <w:pPr>
        <w:spacing w:after="0"/>
        <w:ind w:left="0"/>
        <w:jc w:val="both"/>
      </w:pPr>
      <w:r>
        <w:rPr>
          <w:rFonts w:ascii="Times New Roman"/>
          <w:b w:val="false"/>
          <w:i w:val="false"/>
          <w:color w:val="000000"/>
          <w:sz w:val="28"/>
        </w:rPr>
        <w:t>
      5. Достаточность собственного капитала микрофинансовой организации характеризуется коэффициентом k1 и рассчитывается как отношение собственного капитала к сумме активов, взвешенных по степени кредитного риска.</w:t>
      </w:r>
    </w:p>
    <w:bookmarkEnd w:id="81"/>
    <w:bookmarkStart w:name="z266" w:id="82"/>
    <w:p>
      <w:pPr>
        <w:spacing w:after="0"/>
        <w:ind w:left="0"/>
        <w:jc w:val="both"/>
      </w:pPr>
      <w:r>
        <w:rPr>
          <w:rFonts w:ascii="Times New Roman"/>
          <w:b w:val="false"/>
          <w:i w:val="false"/>
          <w:color w:val="000000"/>
          <w:sz w:val="28"/>
        </w:rPr>
        <w:t xml:space="preserve">
      Расчет активов, взвешиваемых по степени кредитного риска, проводится в соответствии с Таблицей активов микрофинансовой организации, взвешенных по степени кредитного риска вложений, согласно </w:t>
      </w:r>
      <w:r>
        <w:rPr>
          <w:rFonts w:ascii="Times New Roman"/>
          <w:b w:val="false"/>
          <w:i w:val="false"/>
          <w:color w:val="000000"/>
          <w:sz w:val="28"/>
        </w:rPr>
        <w:t>приложению</w:t>
      </w:r>
      <w:r>
        <w:rPr>
          <w:rFonts w:ascii="Times New Roman"/>
          <w:b w:val="false"/>
          <w:i w:val="false"/>
          <w:color w:val="000000"/>
          <w:sz w:val="28"/>
        </w:rPr>
        <w:t xml:space="preserve"> к Нормативам.</w:t>
      </w:r>
    </w:p>
    <w:bookmarkEnd w:id="82"/>
    <w:bookmarkStart w:name="z267" w:id="83"/>
    <w:p>
      <w:pPr>
        <w:spacing w:after="0"/>
        <w:ind w:left="0"/>
        <w:jc w:val="both"/>
      </w:pPr>
      <w:r>
        <w:rPr>
          <w:rFonts w:ascii="Times New Roman"/>
          <w:b w:val="false"/>
          <w:i w:val="false"/>
          <w:color w:val="000000"/>
          <w:sz w:val="28"/>
        </w:rPr>
        <w:t xml:space="preserve">
      Активы, взвешенные по степени кредитного риска, принимаемые в расчет коэффициента k1 включаются за вычетом провизий (резервов), сформированных в соответствии с Правилами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2018 года № 62, зарегистрированным в Реестре государственной регистрации нормативных правовых актов под № 16858.</w:t>
      </w:r>
    </w:p>
    <w:bookmarkEnd w:id="83"/>
    <w:bookmarkStart w:name="z268" w:id="84"/>
    <w:p>
      <w:pPr>
        <w:spacing w:after="0"/>
        <w:ind w:left="0"/>
        <w:jc w:val="both"/>
      </w:pPr>
      <w:r>
        <w:rPr>
          <w:rFonts w:ascii="Times New Roman"/>
          <w:b w:val="false"/>
          <w:i w:val="false"/>
          <w:color w:val="000000"/>
          <w:sz w:val="28"/>
        </w:rPr>
        <w:t>
      Значение коэффициента k1 составляет не менее 0,1.</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07.06.2023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85"/>
    <w:p>
      <w:pPr>
        <w:spacing w:after="0"/>
        <w:ind w:left="0"/>
        <w:jc w:val="both"/>
      </w:pPr>
      <w:r>
        <w:rPr>
          <w:rFonts w:ascii="Times New Roman"/>
          <w:b w:val="false"/>
          <w:i w:val="false"/>
          <w:color w:val="000000"/>
          <w:sz w:val="28"/>
        </w:rPr>
        <w:t>
      5-1. Обязательным условием выполнения норматива k1 является соблюдение лимита на долю просроченной задолженности по основному долгу, начисленному вознаграждению свыше 90 (девяноста) календарных дней в общей сумме ссудного портфеля (далее – лимит).</w:t>
      </w:r>
    </w:p>
    <w:bookmarkEnd w:id="85"/>
    <w:p>
      <w:pPr>
        <w:spacing w:after="0"/>
        <w:ind w:left="0"/>
        <w:jc w:val="both"/>
      </w:pPr>
      <w:r>
        <w:rPr>
          <w:rFonts w:ascii="Times New Roman"/>
          <w:b w:val="false"/>
          <w:i w:val="false"/>
          <w:color w:val="000000"/>
          <w:sz w:val="28"/>
        </w:rPr>
        <w:t>
      Расчет лимита осуществляется по формуле:</w:t>
      </w:r>
    </w:p>
    <w:p>
      <w:pPr>
        <w:spacing w:after="0"/>
        <w:ind w:left="0"/>
        <w:jc w:val="both"/>
      </w:pPr>
      <w:r>
        <w:rPr>
          <w:rFonts w:ascii="Times New Roman"/>
          <w:b w:val="false"/>
          <w:i w:val="false"/>
          <w:color w:val="000000"/>
          <w:sz w:val="28"/>
        </w:rPr>
        <w:t xml:space="preserve">
      Л = </w:t>
      </w:r>
    </w:p>
    <w:p>
      <w:pPr>
        <w:spacing w:after="0"/>
        <w:ind w:left="0"/>
        <w:jc w:val="both"/>
      </w:pPr>
      <w:r>
        <w:drawing>
          <wp:inline distT="0" distB="0" distL="0" distR="0">
            <wp:extent cx="508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080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Л – лимит,</w:t>
      </w:r>
    </w:p>
    <w:p>
      <w:pPr>
        <w:spacing w:after="0"/>
        <w:ind w:left="0"/>
        <w:jc w:val="both"/>
      </w:pPr>
      <w:r>
        <w:rPr>
          <w:rFonts w:ascii="Times New Roman"/>
          <w:b w:val="false"/>
          <w:i w:val="false"/>
          <w:color w:val="000000"/>
          <w:sz w:val="28"/>
        </w:rPr>
        <w:t>
      МП</w:t>
      </w:r>
      <w:r>
        <w:rPr>
          <w:rFonts w:ascii="Times New Roman"/>
          <w:b w:val="false"/>
          <w:i w:val="false"/>
          <w:color w:val="000000"/>
          <w:vertAlign w:val="superscript"/>
        </w:rPr>
        <w:t>90</w:t>
      </w:r>
      <w:r>
        <w:rPr>
          <w:rFonts w:ascii="Times New Roman"/>
          <w:b w:val="false"/>
          <w:i w:val="false"/>
          <w:color w:val="000000"/>
          <w:sz w:val="28"/>
        </w:rPr>
        <w:t xml:space="preserve"> – микрокредиты на конец отчетного периода с просроченной задолженностью по основному долгу, начисленному вознаграждению свыше 90 (девяноста) календарных дней, учитываемые микрофинансовой организацией на балансовых счетах и списанные на внебалансовый учет.</w:t>
      </w:r>
    </w:p>
    <w:p>
      <w:pPr>
        <w:spacing w:after="0"/>
        <w:ind w:left="0"/>
        <w:jc w:val="both"/>
      </w:pPr>
      <w:r>
        <w:rPr>
          <w:rFonts w:ascii="Times New Roman"/>
          <w:b w:val="false"/>
          <w:i w:val="false"/>
          <w:color w:val="000000"/>
          <w:sz w:val="28"/>
        </w:rPr>
        <w:t>
      Показатель МП</w:t>
      </w:r>
      <w:r>
        <w:rPr>
          <w:rFonts w:ascii="Times New Roman"/>
          <w:b w:val="false"/>
          <w:i w:val="false"/>
          <w:color w:val="000000"/>
          <w:vertAlign w:val="superscript"/>
        </w:rPr>
        <w:t>90</w:t>
      </w:r>
      <w:r>
        <w:rPr>
          <w:rFonts w:ascii="Times New Roman"/>
          <w:b w:val="false"/>
          <w:i w:val="false"/>
          <w:color w:val="000000"/>
          <w:sz w:val="28"/>
        </w:rPr>
        <w:t xml:space="preserve"> включает в себя по просроченной задолженности сумму основного долга, начисленного вознаграждения без учета провизий (резервов), сформированных в соответствии с Правилами осуществления классификации активов и условных обязательств.</w:t>
      </w:r>
    </w:p>
    <w:p>
      <w:pPr>
        <w:spacing w:after="0"/>
        <w:ind w:left="0"/>
        <w:jc w:val="both"/>
      </w:pPr>
      <w:r>
        <w:rPr>
          <w:rFonts w:ascii="Times New Roman"/>
          <w:b w:val="false"/>
          <w:i w:val="false"/>
          <w:color w:val="000000"/>
          <w:sz w:val="28"/>
        </w:rPr>
        <w:t>
      СП – ссудный портфель на конец отчетного периода.</w:t>
      </w:r>
    </w:p>
    <w:p>
      <w:pPr>
        <w:spacing w:after="0"/>
        <w:ind w:left="0"/>
        <w:jc w:val="both"/>
      </w:pPr>
      <w:r>
        <w:rPr>
          <w:rFonts w:ascii="Times New Roman"/>
          <w:b w:val="false"/>
          <w:i w:val="false"/>
          <w:color w:val="000000"/>
          <w:sz w:val="28"/>
        </w:rPr>
        <w:t>
      Показатель СП включает в себя сумму основного долга, начисленного вознаграждения без учета провизий (резервов), сформированных в соответствии с Правилами осуществления классификации активов и условных обязательств, учитываемые микрофинансовой организацией на балансовых счетах и списанные на внебалансовый учет.</w:t>
      </w:r>
    </w:p>
    <w:p>
      <w:pPr>
        <w:spacing w:after="0"/>
        <w:ind w:left="0"/>
        <w:jc w:val="both"/>
      </w:pPr>
      <w:r>
        <w:rPr>
          <w:rFonts w:ascii="Times New Roman"/>
          <w:b w:val="false"/>
          <w:i w:val="false"/>
          <w:color w:val="000000"/>
          <w:sz w:val="28"/>
        </w:rPr>
        <w:t>
      Значение лимита составляет не более 20 (двадцати) процентов.</w:t>
      </w:r>
    </w:p>
    <w:p>
      <w:pPr>
        <w:spacing w:after="0"/>
        <w:ind w:left="0"/>
        <w:jc w:val="both"/>
      </w:pPr>
      <w:r>
        <w:rPr>
          <w:rFonts w:ascii="Times New Roman"/>
          <w:b w:val="false"/>
          <w:i w:val="false"/>
          <w:color w:val="000000"/>
          <w:sz w:val="28"/>
        </w:rPr>
        <w:t>
      Превышение лимита на отчетную дату влечет нарушение норматива k1.</w:t>
      </w:r>
    </w:p>
    <w:p>
      <w:pPr>
        <w:spacing w:after="0"/>
        <w:ind w:left="0"/>
        <w:jc w:val="both"/>
      </w:pPr>
      <w:r>
        <w:rPr>
          <w:rFonts w:ascii="Times New Roman"/>
          <w:b w:val="false"/>
          <w:i w:val="false"/>
          <w:color w:val="000000"/>
          <w:sz w:val="28"/>
        </w:rPr>
        <w:t>
      Микрофинансовая организация не позднее 1 (одного) рабочего дня, следующего за отчетным периодом, в котором произошло превышение лимита, разрабатывает и представляет в уполномоченный орган для одобрения план мероприятий по урегулированию просроченной задолженности по микрокредитам по основному долгу, начисленному вознаграждению свыше 90 (девяноста) календарных дней (далее – План мероприятий).</w:t>
      </w:r>
    </w:p>
    <w:p>
      <w:pPr>
        <w:spacing w:after="0"/>
        <w:ind w:left="0"/>
        <w:jc w:val="both"/>
      </w:pPr>
      <w:r>
        <w:rPr>
          <w:rFonts w:ascii="Times New Roman"/>
          <w:b w:val="false"/>
          <w:i w:val="false"/>
          <w:color w:val="000000"/>
          <w:sz w:val="28"/>
        </w:rPr>
        <w:t>
      План мероприятий разрабатывается на срок не менее 3 (трех) месяцев и, не ограничиваясь нижеследующим, предусматривает следующее:</w:t>
      </w:r>
    </w:p>
    <w:p>
      <w:pPr>
        <w:spacing w:after="0"/>
        <w:ind w:left="0"/>
        <w:jc w:val="both"/>
      </w:pPr>
      <w:r>
        <w:rPr>
          <w:rFonts w:ascii="Times New Roman"/>
          <w:b w:val="false"/>
          <w:i w:val="false"/>
          <w:color w:val="000000"/>
          <w:sz w:val="28"/>
        </w:rPr>
        <w:t>
      меры по снижению просроченной задолженности по микрокредитам по основному долгу и (или) начисленному вознаграждению свыше 90 (девяноста) календарных дней до уровня менее или равного 20 (двадцати) процентам от ссудного портфеля;</w:t>
      </w:r>
    </w:p>
    <w:p>
      <w:pPr>
        <w:spacing w:after="0"/>
        <w:ind w:left="0"/>
        <w:jc w:val="both"/>
      </w:pPr>
      <w:r>
        <w:rPr>
          <w:rFonts w:ascii="Times New Roman"/>
          <w:b w:val="false"/>
          <w:i w:val="false"/>
          <w:color w:val="000000"/>
          <w:sz w:val="28"/>
        </w:rPr>
        <w:t>
      порядок и сроки реализации мер, предусмотренных Планом мероприятий;</w:t>
      </w:r>
    </w:p>
    <w:p>
      <w:pPr>
        <w:spacing w:after="0"/>
        <w:ind w:left="0"/>
        <w:jc w:val="both"/>
      </w:pPr>
      <w:r>
        <w:rPr>
          <w:rFonts w:ascii="Times New Roman"/>
          <w:b w:val="false"/>
          <w:i w:val="false"/>
          <w:color w:val="000000"/>
          <w:sz w:val="28"/>
        </w:rPr>
        <w:t>
      перечень руководящих работников, ответственных за исполнение Плана мероприятий (с указанием руководящих работников, ответственных за исполнение по каждому пункту Плана мероприятий).</w:t>
      </w:r>
    </w:p>
    <w:p>
      <w:pPr>
        <w:spacing w:after="0"/>
        <w:ind w:left="0"/>
        <w:jc w:val="both"/>
      </w:pPr>
      <w:r>
        <w:rPr>
          <w:rFonts w:ascii="Times New Roman"/>
          <w:b w:val="false"/>
          <w:i w:val="false"/>
          <w:color w:val="000000"/>
          <w:sz w:val="28"/>
        </w:rPr>
        <w:t>
      Уполномоченный орган рассматривает План мероприятий, представленный микрофинансовой организацией, и направляет результаты его рассмотрения микрофинансовой организации в срок, не превышающий 3 (трех) рабочих дней с даты поступления Плана мероприятий в уполномоченный орган.</w:t>
      </w:r>
    </w:p>
    <w:p>
      <w:pPr>
        <w:spacing w:after="0"/>
        <w:ind w:left="0"/>
        <w:jc w:val="both"/>
      </w:pPr>
      <w:r>
        <w:rPr>
          <w:rFonts w:ascii="Times New Roman"/>
          <w:b w:val="false"/>
          <w:i w:val="false"/>
          <w:color w:val="000000"/>
          <w:sz w:val="28"/>
        </w:rPr>
        <w:t>
      Уполномоченный орган одобряет План мероприятий в письменной форме. При неодобрении Плана мероприятий предоставляет замечания в письменной форме.</w:t>
      </w:r>
    </w:p>
    <w:p>
      <w:pPr>
        <w:spacing w:after="0"/>
        <w:ind w:left="0"/>
        <w:jc w:val="both"/>
      </w:pPr>
      <w:r>
        <w:rPr>
          <w:rFonts w:ascii="Times New Roman"/>
          <w:b w:val="false"/>
          <w:i w:val="false"/>
          <w:color w:val="000000"/>
          <w:sz w:val="28"/>
        </w:rPr>
        <w:t>
      Микрофинансовая организация дорабатывает План мероприятий с учетом замечаний уполномоченного органа или при несогласии с ними представляет возражения.</w:t>
      </w:r>
    </w:p>
    <w:p>
      <w:pPr>
        <w:spacing w:after="0"/>
        <w:ind w:left="0"/>
        <w:jc w:val="both"/>
      </w:pPr>
      <w:r>
        <w:rPr>
          <w:rFonts w:ascii="Times New Roman"/>
          <w:b w:val="false"/>
          <w:i w:val="false"/>
          <w:color w:val="000000"/>
          <w:sz w:val="28"/>
        </w:rPr>
        <w:t>
      При этом срок для одобрения уполномоченным органом Плана мероприятий не превышает 5 (пяти) рабочих дней с даты, следующей за отчетным периодом.</w:t>
      </w:r>
    </w:p>
    <w:p>
      <w:pPr>
        <w:spacing w:after="0"/>
        <w:ind w:left="0"/>
        <w:jc w:val="both"/>
      </w:pPr>
      <w:r>
        <w:rPr>
          <w:rFonts w:ascii="Times New Roman"/>
          <w:b w:val="false"/>
          <w:i w:val="false"/>
          <w:color w:val="000000"/>
          <w:sz w:val="28"/>
        </w:rPr>
        <w:t>
      В случае снижения просроченной задолженности по микрокредитам по основному долгу, начисленному вознаграждению свыше 90 (девяноста) календарных дней, до уровня менее или равного 20 (двадцати) процентам от ссудного портфеля микрофинансовой организацией направляется уведомление в уполномоченный орган не позднее 1 (одного) дня, следующего за отчетным периодом, в котором произошло фактическое снижение просроченной задолженности.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Пруденциальные нормативы дополнены пунктом 5-1 в соответствии с постановлением Правления Агентства РК по регулированию и развитию финансового рынка от 12.12.2022 </w:t>
      </w:r>
      <w:r>
        <w:rPr>
          <w:rFonts w:ascii="Times New Roman"/>
          <w:b w:val="false"/>
          <w:i w:val="false"/>
          <w:color w:val="000000"/>
          <w:sz w:val="28"/>
        </w:rPr>
        <w:t>№ 115</w:t>
      </w:r>
      <w:r>
        <w:rPr>
          <w:rFonts w:ascii="Times New Roman"/>
          <w:b w:val="false"/>
          <w:i w:val="false"/>
          <w:color w:val="ff0000"/>
          <w:sz w:val="28"/>
        </w:rPr>
        <w:t xml:space="preserve"> (вводится в действие с 01.01.23).</w:t>
      </w:r>
      <w:r>
        <w:br/>
      </w:r>
      <w:r>
        <w:rPr>
          <w:rFonts w:ascii="Times New Roman"/>
          <w:b w:val="false"/>
          <w:i w:val="false"/>
          <w:color w:val="000000"/>
          <w:sz w:val="28"/>
        </w:rPr>
        <w:t>
</w:t>
      </w:r>
    </w:p>
    <w:bookmarkStart w:name="z73" w:id="86"/>
    <w:p>
      <w:pPr>
        <w:spacing w:after="0"/>
        <w:ind w:left="0"/>
        <w:jc w:val="both"/>
      </w:pPr>
      <w:r>
        <w:rPr>
          <w:rFonts w:ascii="Times New Roman"/>
          <w:b w:val="false"/>
          <w:i w:val="false"/>
          <w:color w:val="000000"/>
          <w:sz w:val="28"/>
        </w:rPr>
        <w:t>
      6. Собственный капитал организации, осуществляющей микрофинансовую деятельность, рассчитывается как сумма:</w:t>
      </w:r>
    </w:p>
    <w:bookmarkEnd w:id="86"/>
    <w:bookmarkStart w:name="z74" w:id="87"/>
    <w:p>
      <w:pPr>
        <w:spacing w:after="0"/>
        <w:ind w:left="0"/>
        <w:jc w:val="both"/>
      </w:pPr>
      <w:r>
        <w:rPr>
          <w:rFonts w:ascii="Times New Roman"/>
          <w:b w:val="false"/>
          <w:i w:val="false"/>
          <w:color w:val="000000"/>
          <w:sz w:val="28"/>
        </w:rPr>
        <w:t>
      оплаченного уставного капитала;</w:t>
      </w:r>
    </w:p>
    <w:bookmarkEnd w:id="87"/>
    <w:bookmarkStart w:name="z75" w:id="88"/>
    <w:p>
      <w:pPr>
        <w:spacing w:after="0"/>
        <w:ind w:left="0"/>
        <w:jc w:val="both"/>
      </w:pPr>
      <w:r>
        <w:rPr>
          <w:rFonts w:ascii="Times New Roman"/>
          <w:b w:val="false"/>
          <w:i w:val="false"/>
          <w:color w:val="000000"/>
          <w:sz w:val="28"/>
        </w:rPr>
        <w:t>
      дополнительного капитала;</w:t>
      </w:r>
    </w:p>
    <w:bookmarkEnd w:id="88"/>
    <w:bookmarkStart w:name="z76" w:id="89"/>
    <w:p>
      <w:pPr>
        <w:spacing w:after="0"/>
        <w:ind w:left="0"/>
        <w:jc w:val="both"/>
      </w:pPr>
      <w:r>
        <w:rPr>
          <w:rFonts w:ascii="Times New Roman"/>
          <w:b w:val="false"/>
          <w:i w:val="false"/>
          <w:color w:val="000000"/>
          <w:sz w:val="28"/>
        </w:rPr>
        <w:t>
      нераспределенной чистой прибыли (убытка) прошлых лет (в том числе фонды, резервы, сформированные за счет чистого дохода прошлых лет);</w:t>
      </w:r>
    </w:p>
    <w:bookmarkEnd w:id="89"/>
    <w:bookmarkStart w:name="z77" w:id="90"/>
    <w:p>
      <w:pPr>
        <w:spacing w:after="0"/>
        <w:ind w:left="0"/>
        <w:jc w:val="both"/>
      </w:pPr>
      <w:r>
        <w:rPr>
          <w:rFonts w:ascii="Times New Roman"/>
          <w:b w:val="false"/>
          <w:i w:val="false"/>
          <w:color w:val="000000"/>
          <w:sz w:val="28"/>
        </w:rPr>
        <w:t>
      размера нераспределенной чистой прибыли (убытка) отчетного периода;</w:t>
      </w:r>
    </w:p>
    <w:bookmarkEnd w:id="90"/>
    <w:bookmarkStart w:name="z78" w:id="91"/>
    <w:p>
      <w:pPr>
        <w:spacing w:after="0"/>
        <w:ind w:left="0"/>
        <w:jc w:val="both"/>
      </w:pPr>
      <w:r>
        <w:rPr>
          <w:rFonts w:ascii="Times New Roman"/>
          <w:b w:val="false"/>
          <w:i w:val="false"/>
          <w:color w:val="000000"/>
          <w:sz w:val="28"/>
        </w:rPr>
        <w:t>
      размера переоценки основных средств;</w:t>
      </w:r>
    </w:p>
    <w:bookmarkEnd w:id="91"/>
    <w:bookmarkStart w:name="z79" w:id="92"/>
    <w:p>
      <w:pPr>
        <w:spacing w:after="0"/>
        <w:ind w:left="0"/>
        <w:jc w:val="both"/>
      </w:pPr>
      <w:r>
        <w:rPr>
          <w:rFonts w:ascii="Times New Roman"/>
          <w:b w:val="false"/>
          <w:i w:val="false"/>
          <w:color w:val="000000"/>
          <w:sz w:val="28"/>
        </w:rPr>
        <w:t xml:space="preserve">
      субординированного долга в виде необеспеченного обязательства организации, осуществляющей микрофинансовую деятельность, перед юридическими лицами-резидентами и нерезидентами Республики Казахстан (за исключением юридических лиц, зарегистрированных на территории государств, отнесенных Организацией экономического сотрудничества и развития к перечню оффшорных территорий, не принявших обязательства по информационному обмену); </w:t>
      </w:r>
    </w:p>
    <w:bookmarkEnd w:id="92"/>
    <w:bookmarkStart w:name="z80" w:id="93"/>
    <w:p>
      <w:pPr>
        <w:spacing w:after="0"/>
        <w:ind w:left="0"/>
        <w:jc w:val="both"/>
      </w:pPr>
      <w:r>
        <w:rPr>
          <w:rFonts w:ascii="Times New Roman"/>
          <w:b w:val="false"/>
          <w:i w:val="false"/>
          <w:color w:val="000000"/>
          <w:sz w:val="28"/>
        </w:rPr>
        <w:t>
      за минусом:</w:t>
      </w:r>
    </w:p>
    <w:bookmarkEnd w:id="93"/>
    <w:bookmarkStart w:name="z81" w:id="94"/>
    <w:p>
      <w:pPr>
        <w:spacing w:after="0"/>
        <w:ind w:left="0"/>
        <w:jc w:val="both"/>
      </w:pPr>
      <w:r>
        <w:rPr>
          <w:rFonts w:ascii="Times New Roman"/>
          <w:b w:val="false"/>
          <w:i w:val="false"/>
          <w:color w:val="000000"/>
          <w:sz w:val="28"/>
        </w:rPr>
        <w:t xml:space="preserve">
      нематериальных активов, за исключением лицензионного программного обеспечения, приобретенного для целей основной деятельности организации, осуществляющей микрофинансовую деятельность; </w:t>
      </w:r>
    </w:p>
    <w:bookmarkEnd w:id="94"/>
    <w:bookmarkStart w:name="z82" w:id="95"/>
    <w:p>
      <w:pPr>
        <w:spacing w:after="0"/>
        <w:ind w:left="0"/>
        <w:jc w:val="both"/>
      </w:pPr>
      <w:r>
        <w:rPr>
          <w:rFonts w:ascii="Times New Roman"/>
          <w:b w:val="false"/>
          <w:i w:val="false"/>
          <w:color w:val="000000"/>
          <w:sz w:val="28"/>
        </w:rPr>
        <w:t>
      инвестиций организации, осуществляющей микрофинансовую деятельность, в капитал других юридических лиц.</w:t>
      </w:r>
    </w:p>
    <w:bookmarkEnd w:id="95"/>
    <w:bookmarkStart w:name="z83" w:id="96"/>
    <w:p>
      <w:pPr>
        <w:spacing w:after="0"/>
        <w:ind w:left="0"/>
        <w:jc w:val="both"/>
      </w:pPr>
      <w:r>
        <w:rPr>
          <w:rFonts w:ascii="Times New Roman"/>
          <w:b w:val="false"/>
          <w:i w:val="false"/>
          <w:color w:val="000000"/>
          <w:sz w:val="28"/>
        </w:rPr>
        <w:t>
      7. Условиями отнесения необеспеченного обязательства к субординированному долгу является одновременное исполнение следующих условий:</w:t>
      </w:r>
    </w:p>
    <w:bookmarkEnd w:id="96"/>
    <w:bookmarkStart w:name="z84" w:id="97"/>
    <w:p>
      <w:pPr>
        <w:spacing w:after="0"/>
        <w:ind w:left="0"/>
        <w:jc w:val="both"/>
      </w:pPr>
      <w:r>
        <w:rPr>
          <w:rFonts w:ascii="Times New Roman"/>
          <w:b w:val="false"/>
          <w:i w:val="false"/>
          <w:color w:val="000000"/>
          <w:sz w:val="28"/>
        </w:rPr>
        <w:t>
      1) срок, на который выпущено либо получено необеспеченное обязательство, составляет не менее 5 (пяти) лет;</w:t>
      </w:r>
    </w:p>
    <w:bookmarkEnd w:id="97"/>
    <w:bookmarkStart w:name="z85" w:id="98"/>
    <w:p>
      <w:pPr>
        <w:spacing w:after="0"/>
        <w:ind w:left="0"/>
        <w:jc w:val="both"/>
      </w:pPr>
      <w:r>
        <w:rPr>
          <w:rFonts w:ascii="Times New Roman"/>
          <w:b w:val="false"/>
          <w:i w:val="false"/>
          <w:color w:val="000000"/>
          <w:sz w:val="28"/>
        </w:rPr>
        <w:t>
      2) кредиторы не могут предъявить требование о досрочном погашении либо исполнении необеспеченного обязательства;</w:t>
      </w:r>
    </w:p>
    <w:bookmarkEnd w:id="98"/>
    <w:bookmarkStart w:name="z86" w:id="99"/>
    <w:p>
      <w:pPr>
        <w:spacing w:after="0"/>
        <w:ind w:left="0"/>
        <w:jc w:val="both"/>
      </w:pPr>
      <w:r>
        <w:rPr>
          <w:rFonts w:ascii="Times New Roman"/>
          <w:b w:val="false"/>
          <w:i w:val="false"/>
          <w:color w:val="000000"/>
          <w:sz w:val="28"/>
        </w:rPr>
        <w:t xml:space="preserve">
      3) необеспеченное обязательство может быть досрочно погашено либо исполнено по инициативе организации, осуществляющей микрофинансовую деятельность, при условии, что данное не приведет к снижению пруденциальных нормативов ниже значений, установленных Нормативами; </w:t>
      </w:r>
    </w:p>
    <w:bookmarkEnd w:id="99"/>
    <w:bookmarkStart w:name="z87" w:id="100"/>
    <w:p>
      <w:pPr>
        <w:spacing w:after="0"/>
        <w:ind w:left="0"/>
        <w:jc w:val="both"/>
      </w:pPr>
      <w:r>
        <w:rPr>
          <w:rFonts w:ascii="Times New Roman"/>
          <w:b w:val="false"/>
          <w:i w:val="false"/>
          <w:color w:val="000000"/>
          <w:sz w:val="28"/>
        </w:rPr>
        <w:t>
      4) при ликвидации организации, осуществляющей микрофинансовую деятельность, необеспеченное обязательство удовлетворяется в последнюю очередь (перед распределением оставшегося имущества между участниками).</w:t>
      </w:r>
    </w:p>
    <w:bookmarkEnd w:id="100"/>
    <w:bookmarkStart w:name="z88" w:id="101"/>
    <w:p>
      <w:pPr>
        <w:spacing w:after="0"/>
        <w:ind w:left="0"/>
        <w:jc w:val="both"/>
      </w:pPr>
      <w:r>
        <w:rPr>
          <w:rFonts w:ascii="Times New Roman"/>
          <w:b w:val="false"/>
          <w:i w:val="false"/>
          <w:color w:val="000000"/>
          <w:sz w:val="28"/>
        </w:rPr>
        <w:t xml:space="preserve">
      8. Инвестиции организации, осуществляющей микрофинансовую деятельность, в капитал других юридических лиц представляют собой вложения организации, осуществляющей микрофинансовую деятельность в акции или доли участия в уставные капиталы юридических лиц. </w:t>
      </w:r>
    </w:p>
    <w:bookmarkEnd w:id="101"/>
    <w:bookmarkStart w:name="z89" w:id="102"/>
    <w:p>
      <w:pPr>
        <w:spacing w:after="0"/>
        <w:ind w:left="0"/>
        <w:jc w:val="both"/>
      </w:pPr>
      <w:r>
        <w:rPr>
          <w:rFonts w:ascii="Times New Roman"/>
          <w:b w:val="false"/>
          <w:i w:val="false"/>
          <w:color w:val="000000"/>
          <w:sz w:val="28"/>
        </w:rPr>
        <w:t>
      9. Максимальный размер риска на одного заемщика характеризуется коэффициентом k2 и рассчитывается как отношение размера риска микрофинансовой организации на одного заемщика по его обязательствам к собственному капиталу микрофинансовой организации.</w:t>
      </w:r>
    </w:p>
    <w:bookmarkEnd w:id="102"/>
    <w:bookmarkStart w:name="z90" w:id="103"/>
    <w:p>
      <w:pPr>
        <w:spacing w:after="0"/>
        <w:ind w:left="0"/>
        <w:jc w:val="both"/>
      </w:pPr>
      <w:r>
        <w:rPr>
          <w:rFonts w:ascii="Times New Roman"/>
          <w:b w:val="false"/>
          <w:i w:val="false"/>
          <w:color w:val="000000"/>
          <w:sz w:val="28"/>
        </w:rPr>
        <w:t>
      Значение коэффициента k2 не превышает 0,25.</w:t>
      </w:r>
    </w:p>
    <w:bookmarkEnd w:id="103"/>
    <w:bookmarkStart w:name="z91" w:id="104"/>
    <w:p>
      <w:pPr>
        <w:spacing w:after="0"/>
        <w:ind w:left="0"/>
        <w:jc w:val="both"/>
      </w:pPr>
      <w:r>
        <w:rPr>
          <w:rFonts w:ascii="Times New Roman"/>
          <w:b w:val="false"/>
          <w:i w:val="false"/>
          <w:color w:val="000000"/>
          <w:sz w:val="28"/>
        </w:rPr>
        <w:t>
      10. Размер риска на одного заемщика микрофинансовой организации рассчитывается как сумма:</w:t>
      </w:r>
    </w:p>
    <w:bookmarkEnd w:id="104"/>
    <w:bookmarkStart w:name="z92" w:id="105"/>
    <w:p>
      <w:pPr>
        <w:spacing w:after="0"/>
        <w:ind w:left="0"/>
        <w:jc w:val="both"/>
      </w:pPr>
      <w:r>
        <w:rPr>
          <w:rFonts w:ascii="Times New Roman"/>
          <w:b w:val="false"/>
          <w:i w:val="false"/>
          <w:color w:val="000000"/>
          <w:sz w:val="28"/>
        </w:rPr>
        <w:t>
      требований микрофинансовой организации к заемщику в виде микрокредитов и дебиторской задолженности;</w:t>
      </w:r>
    </w:p>
    <w:bookmarkEnd w:id="105"/>
    <w:bookmarkStart w:name="z93" w:id="106"/>
    <w:p>
      <w:pPr>
        <w:spacing w:after="0"/>
        <w:ind w:left="0"/>
        <w:jc w:val="both"/>
      </w:pPr>
      <w:r>
        <w:rPr>
          <w:rFonts w:ascii="Times New Roman"/>
          <w:b w:val="false"/>
          <w:i w:val="false"/>
          <w:color w:val="000000"/>
          <w:sz w:val="28"/>
        </w:rPr>
        <w:t xml:space="preserve">
      требований микрофинансовой организации к заемщику, списанных с баланса микрофинансовой организации; </w:t>
      </w:r>
    </w:p>
    <w:bookmarkEnd w:id="106"/>
    <w:bookmarkStart w:name="z94" w:id="107"/>
    <w:p>
      <w:pPr>
        <w:spacing w:after="0"/>
        <w:ind w:left="0"/>
        <w:jc w:val="both"/>
      </w:pPr>
      <w:r>
        <w:rPr>
          <w:rFonts w:ascii="Times New Roman"/>
          <w:b w:val="false"/>
          <w:i w:val="false"/>
          <w:color w:val="000000"/>
          <w:sz w:val="28"/>
        </w:rPr>
        <w:t>
      за минусом суммы фактически созданных провизий по выданным микрокредитам, а также обеспечения по обязательствам заемщика в виде:</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аффинированных драгоценных</w:t>
      </w:r>
      <w:r>
        <w:rPr>
          <w:rFonts w:ascii="Times New Roman"/>
          <w:b w:val="false"/>
          <w:i w:val="false"/>
          <w:color w:val="000000"/>
          <w:sz w:val="28"/>
        </w:rPr>
        <w:t xml:space="preserve"> металлов</w:t>
      </w:r>
      <w:r>
        <w:rPr>
          <w:rFonts w:ascii="Times New Roman"/>
          <w:b w:val="false"/>
          <w:i w:val="false"/>
          <w:color w:val="000000"/>
          <w:sz w:val="28"/>
        </w:rPr>
        <w:t>, соответствующих международным стандартам качества, принятым Лондонской ассоциацией рынка драгоценных металлов (London billion market association) и обозначенным в документах данной ассоциации как стандарт "Лондонская качественная поставка" ("London good delivery");</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гарантий банков, имеющих долгосрочный долговой рейтинг не ниже "А" агентства Standard &amp; Poor's или рейтинг аналогичного уровня одного из других рейтинговых агентств.</w:t>
      </w:r>
    </w:p>
    <w:bookmarkStart w:name="z97" w:id="108"/>
    <w:p>
      <w:pPr>
        <w:spacing w:after="0"/>
        <w:ind w:left="0"/>
        <w:jc w:val="both"/>
      </w:pPr>
      <w:r>
        <w:rPr>
          <w:rFonts w:ascii="Times New Roman"/>
          <w:b w:val="false"/>
          <w:i w:val="false"/>
          <w:color w:val="000000"/>
          <w:sz w:val="28"/>
        </w:rPr>
        <w:t>
      11. В случаях, когда общий объем требований микрофинансовой организации к заемщику на дату их возникновения находился в пределах ограничений, установленных Нормативами, но впоследствии превысил указанные ограничения в связи со снижением уровня собственного капитала микрофинансовой организации не более чем на 5 (пять) процентов в течение последних 3 (трех) месяцев, норматив максимального размера риска на одного заемщика считается выполненным.</w:t>
      </w:r>
    </w:p>
    <w:bookmarkEnd w:id="108"/>
    <w:bookmarkStart w:name="z98" w:id="109"/>
    <w:p>
      <w:pPr>
        <w:spacing w:after="0"/>
        <w:ind w:left="0"/>
        <w:jc w:val="both"/>
      </w:pPr>
      <w:r>
        <w:rPr>
          <w:rFonts w:ascii="Times New Roman"/>
          <w:b w:val="false"/>
          <w:i w:val="false"/>
          <w:color w:val="000000"/>
          <w:sz w:val="28"/>
        </w:rPr>
        <w:t>
      В указанных случаях, микрофинансовая организация в течение дня, следующего за днем возникновения вышеуказанного превышения, информирует уполномоченный орган по регулированию, контролю и надзору финансового рынка и финансовых организаций о факте превышения ограничений и принимает обязательства по устранению превышения в течение текущего и последующего месяцев. Если данное превышение не устраняется микрофинансовой организацией в указанный срок,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w:t>
      </w:r>
    </w:p>
    <w:bookmarkEnd w:id="109"/>
    <w:bookmarkStart w:name="z99" w:id="110"/>
    <w:p>
      <w:pPr>
        <w:spacing w:after="0"/>
        <w:ind w:left="0"/>
        <w:jc w:val="both"/>
      </w:pPr>
      <w:r>
        <w:rPr>
          <w:rFonts w:ascii="Times New Roman"/>
          <w:b w:val="false"/>
          <w:i w:val="false"/>
          <w:color w:val="000000"/>
          <w:sz w:val="28"/>
        </w:rPr>
        <w:t>
      12. Капитализация микрофинансовой организации, кредитного товарищества к обязательствам характеризуется коэффициентом левереджа k3 и рассчитывается как отношение суммы совокупных обязательств микрофинансовой организации, кредитного товарищества к собственному капиталу.</w:t>
      </w:r>
    </w:p>
    <w:bookmarkEnd w:id="110"/>
    <w:bookmarkStart w:name="z269" w:id="111"/>
    <w:p>
      <w:pPr>
        <w:spacing w:after="0"/>
        <w:ind w:left="0"/>
        <w:jc w:val="both"/>
      </w:pPr>
      <w:r>
        <w:rPr>
          <w:rFonts w:ascii="Times New Roman"/>
          <w:b w:val="false"/>
          <w:i w:val="false"/>
          <w:color w:val="000000"/>
          <w:sz w:val="28"/>
        </w:rPr>
        <w:t>
      Значение коэффициента k3 не превышает 10.</w:t>
      </w:r>
    </w:p>
    <w:bookmarkEnd w:id="111"/>
    <w:bookmarkStart w:name="z270" w:id="112"/>
    <w:p>
      <w:pPr>
        <w:spacing w:after="0"/>
        <w:ind w:left="0"/>
        <w:jc w:val="both"/>
      </w:pPr>
      <w:r>
        <w:rPr>
          <w:rFonts w:ascii="Times New Roman"/>
          <w:b w:val="false"/>
          <w:i w:val="false"/>
          <w:color w:val="000000"/>
          <w:sz w:val="28"/>
        </w:rPr>
        <w:t>
      При расчете коэффициента k3 для кредитного товарищества из совокупных обязательств кредитного товарищества исключаются обязательства перед национальными управляющими холдингами и дочерними организациями национального управляющего холдинга в сфере агропромышленного комплекса.";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Агентства РК по регулированию и развитию финансового рынка от 07.06.2023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113"/>
    <w:p>
      <w:pPr>
        <w:spacing w:after="0"/>
        <w:ind w:left="0"/>
        <w:jc w:val="left"/>
      </w:pPr>
      <w:r>
        <w:rPr>
          <w:rFonts w:ascii="Times New Roman"/>
          <w:b/>
          <w:i w:val="false"/>
          <w:color w:val="000000"/>
        </w:rPr>
        <w:t xml:space="preserve"> Глава 4. Коэффициент долга к доходу заемщика микрофинансовой организации</w:t>
      </w:r>
    </w:p>
    <w:bookmarkEnd w:id="113"/>
    <w:p>
      <w:pPr>
        <w:spacing w:after="0"/>
        <w:ind w:left="0"/>
        <w:jc w:val="both"/>
      </w:pPr>
      <w:r>
        <w:rPr>
          <w:rFonts w:ascii="Times New Roman"/>
          <w:b w:val="false"/>
          <w:i w:val="false"/>
          <w:color w:val="ff0000"/>
          <w:sz w:val="28"/>
        </w:rPr>
        <w:t xml:space="preserve">
      Сноска. Пруденциальные нормативы дополнены главой 4 в соответствии с постановлением Правления Агентства РК по регулированию и развитию финансового рынка от 16.08.2024 </w:t>
      </w:r>
      <w:r>
        <w:rPr>
          <w:rFonts w:ascii="Times New Roman"/>
          <w:b w:val="false"/>
          <w:i w:val="false"/>
          <w:color w:val="ff0000"/>
          <w:sz w:val="28"/>
        </w:rPr>
        <w:t>№ 63</w:t>
      </w:r>
      <w:r>
        <w:rPr>
          <w:rFonts w:ascii="Times New Roman"/>
          <w:b w:val="false"/>
          <w:i w:val="false"/>
          <w:color w:val="ff0000"/>
          <w:sz w:val="28"/>
        </w:rPr>
        <w:t xml:space="preserve"> (вводится в действие с 20.08.2024).</w:t>
      </w:r>
    </w:p>
    <w:bookmarkStart w:name="z300" w:id="114"/>
    <w:p>
      <w:pPr>
        <w:spacing w:after="0"/>
        <w:ind w:left="0"/>
        <w:jc w:val="both"/>
      </w:pPr>
      <w:r>
        <w:rPr>
          <w:rFonts w:ascii="Times New Roman"/>
          <w:b w:val="false"/>
          <w:i w:val="false"/>
          <w:color w:val="000000"/>
          <w:sz w:val="28"/>
        </w:rPr>
        <w:t>
      13. Микрофинансовая организация осуществляет расчет коэффициента долга к доходу заемщика до принятия решения о (об):</w:t>
      </w:r>
    </w:p>
    <w:bookmarkEnd w:id="114"/>
    <w:bookmarkStart w:name="z301" w:id="115"/>
    <w:p>
      <w:pPr>
        <w:spacing w:after="0"/>
        <w:ind w:left="0"/>
        <w:jc w:val="both"/>
      </w:pPr>
      <w:r>
        <w:rPr>
          <w:rFonts w:ascii="Times New Roman"/>
          <w:b w:val="false"/>
          <w:i w:val="false"/>
          <w:color w:val="000000"/>
          <w:sz w:val="28"/>
        </w:rPr>
        <w:t>
      выдаче заемщику микрокредита, за исключением выдачи микрокредита (части микрокредита) в рамках открытой заемщику кредитной линии;</w:t>
      </w:r>
    </w:p>
    <w:bookmarkEnd w:id="115"/>
    <w:bookmarkStart w:name="z302" w:id="116"/>
    <w:p>
      <w:pPr>
        <w:spacing w:after="0"/>
        <w:ind w:left="0"/>
        <w:jc w:val="both"/>
      </w:pPr>
      <w:r>
        <w:rPr>
          <w:rFonts w:ascii="Times New Roman"/>
          <w:b w:val="false"/>
          <w:i w:val="false"/>
          <w:color w:val="000000"/>
          <w:sz w:val="28"/>
        </w:rPr>
        <w:t>
      открытии кредитной линии заемщику (установлении кредитного лимита);</w:t>
      </w:r>
    </w:p>
    <w:bookmarkEnd w:id="116"/>
    <w:bookmarkStart w:name="z303" w:id="117"/>
    <w:p>
      <w:pPr>
        <w:spacing w:after="0"/>
        <w:ind w:left="0"/>
        <w:jc w:val="both"/>
      </w:pPr>
      <w:r>
        <w:rPr>
          <w:rFonts w:ascii="Times New Roman"/>
          <w:b w:val="false"/>
          <w:i w:val="false"/>
          <w:color w:val="000000"/>
          <w:sz w:val="28"/>
        </w:rPr>
        <w:t>
      выдаче заемщику дополнительного микрокредита в рамках заключенного (заключенных) договора (договоров) о предоставлении микрокредита.</w:t>
      </w:r>
    </w:p>
    <w:bookmarkEnd w:id="117"/>
    <w:bookmarkStart w:name="z304" w:id="118"/>
    <w:p>
      <w:pPr>
        <w:spacing w:after="0"/>
        <w:ind w:left="0"/>
        <w:jc w:val="both"/>
      </w:pPr>
      <w:r>
        <w:rPr>
          <w:rFonts w:ascii="Times New Roman"/>
          <w:b w:val="false"/>
          <w:i w:val="false"/>
          <w:color w:val="000000"/>
          <w:sz w:val="28"/>
        </w:rPr>
        <w:t>
      14. Требования пункта 13 Нормативов распространяются на микрокредиты, предоставленные заемщикам на приобретение товаров, работ и услуг, не связанных с осуществлением предпринимательской деятельности.</w:t>
      </w:r>
    </w:p>
    <w:bookmarkEnd w:id="118"/>
    <w:bookmarkStart w:name="z305" w:id="119"/>
    <w:p>
      <w:pPr>
        <w:spacing w:after="0"/>
        <w:ind w:left="0"/>
        <w:jc w:val="both"/>
      </w:pPr>
      <w:r>
        <w:rPr>
          <w:rFonts w:ascii="Times New Roman"/>
          <w:b w:val="false"/>
          <w:i w:val="false"/>
          <w:color w:val="000000"/>
          <w:sz w:val="28"/>
        </w:rPr>
        <w:t>
      15. Расчет коэффициента долга к доходу заемщика осуществляется микрофинансовой организацией следующим образом:</w:t>
      </w:r>
    </w:p>
    <w:bookmarkEnd w:id="1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35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353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6" w:id="120"/>
    <w:p>
      <w:pPr>
        <w:spacing w:after="0"/>
        <w:ind w:left="0"/>
        <w:jc w:val="both"/>
      </w:pPr>
      <w:r>
        <w:rPr>
          <w:rFonts w:ascii="Times New Roman"/>
          <w:b w:val="false"/>
          <w:i w:val="false"/>
          <w:color w:val="000000"/>
          <w:sz w:val="28"/>
        </w:rPr>
        <w:t>
      где:</w:t>
      </w:r>
    </w:p>
    <w:bookmarkEnd w:id="120"/>
    <w:bookmarkStart w:name="z307" w:id="121"/>
    <w:p>
      <w:pPr>
        <w:spacing w:after="0"/>
        <w:ind w:left="0"/>
        <w:jc w:val="both"/>
      </w:pPr>
      <w:r>
        <w:rPr>
          <w:rFonts w:ascii="Times New Roman"/>
          <w:b w:val="false"/>
          <w:i w:val="false"/>
          <w:color w:val="000000"/>
          <w:sz w:val="28"/>
        </w:rPr>
        <w:t>
      КДД - коэффициент долга к доходу заемщика;</w:t>
      </w:r>
    </w:p>
    <w:bookmarkEnd w:id="121"/>
    <w:bookmarkStart w:name="z308" w:id="122"/>
    <w:p>
      <w:pPr>
        <w:spacing w:after="0"/>
        <w:ind w:left="0"/>
        <w:jc w:val="both"/>
      </w:pPr>
      <w:r>
        <w:rPr>
          <w:rFonts w:ascii="Times New Roman"/>
          <w:b w:val="false"/>
          <w:i w:val="false"/>
          <w:color w:val="000000"/>
          <w:sz w:val="28"/>
        </w:rPr>
        <w:t>
      СЗНЗ – сумма задолженности по всем непогашенным займам и микрокредитам заемщика;</w:t>
      </w:r>
    </w:p>
    <w:bookmarkEnd w:id="122"/>
    <w:bookmarkStart w:name="z309" w:id="123"/>
    <w:p>
      <w:pPr>
        <w:spacing w:after="0"/>
        <w:ind w:left="0"/>
        <w:jc w:val="both"/>
      </w:pPr>
      <w:r>
        <w:rPr>
          <w:rFonts w:ascii="Times New Roman"/>
          <w:b w:val="false"/>
          <w:i w:val="false"/>
          <w:color w:val="000000"/>
          <w:sz w:val="28"/>
        </w:rPr>
        <w:t>
      СЗНЗ – рассчитывается как совокупная сумма задолженности по всем непогашенным займам и микрокредитам заемщика, включая суммы просроченных платежей по всем непогашенным займам и микрокредитам, суммы по использованной части кредитного лимита по кредитной карте, а также по платежной карте, условиями которой предусмотрено кредитование заемщика в рамках кредитного лимита, а также 10 (десять) процентов от неиспользованной части кредитного лимита, кредитной карты или платежной карты, условиями которых предусмотрено кредитование заемщика в рамках кредитного лимита;</w:t>
      </w:r>
    </w:p>
    <w:bookmarkEnd w:id="123"/>
    <w:bookmarkStart w:name="z310" w:id="124"/>
    <w:p>
      <w:pPr>
        <w:spacing w:after="0"/>
        <w:ind w:left="0"/>
        <w:jc w:val="both"/>
      </w:pPr>
      <w:r>
        <w:rPr>
          <w:rFonts w:ascii="Times New Roman"/>
          <w:b w:val="false"/>
          <w:i w:val="false"/>
          <w:color w:val="000000"/>
          <w:sz w:val="28"/>
        </w:rPr>
        <w:t>
      СНЗ – сумма по новой задолженности заемщика, возникающей в случаях, предусмотренных пунктом 13 Нормативов;</w:t>
      </w:r>
    </w:p>
    <w:bookmarkEnd w:id="124"/>
    <w:bookmarkStart w:name="z311" w:id="125"/>
    <w:p>
      <w:pPr>
        <w:spacing w:after="0"/>
        <w:ind w:left="0"/>
        <w:jc w:val="both"/>
      </w:pPr>
      <w:r>
        <w:rPr>
          <w:rFonts w:ascii="Times New Roman"/>
          <w:b w:val="false"/>
          <w:i w:val="false"/>
          <w:color w:val="000000"/>
          <w:sz w:val="28"/>
        </w:rPr>
        <w:t xml:space="preserve">
      СГДЗ – совокупный годовой доход заемщика, который рассчитывается как среднемесячная сумма заработной платы и (или) иных видов доходов заемщика, определенных на основании критериев, указанных в части второй пункта 6 Правил расчета и предельного значения коэффициента долговой нагрузки заемщика организации, осуществляющей микрофинансовую деятельность,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ноября 2019 года № 215, зарегистрированных в Реестре государственной регистрации нормативных правовых актов под № 19670, за последние 6 (шесть) месяцев, предшествующих дате обращения заемщика умноженная на 12.</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Пруденциальным нормативам</w:t>
            </w:r>
            <w:r>
              <w:br/>
            </w:r>
            <w:r>
              <w:rPr>
                <w:rFonts w:ascii="Times New Roman"/>
                <w:b w:val="false"/>
                <w:i w:val="false"/>
                <w:color w:val="000000"/>
                <w:sz w:val="20"/>
              </w:rPr>
              <w:t>и иным обязательным</w:t>
            </w:r>
            <w:r>
              <w:br/>
            </w:r>
            <w:r>
              <w:rPr>
                <w:rFonts w:ascii="Times New Roman"/>
                <w:b w:val="false"/>
                <w:i w:val="false"/>
                <w:color w:val="000000"/>
                <w:sz w:val="20"/>
              </w:rPr>
              <w:t>к соблюдению организацией,</w:t>
            </w:r>
            <w:r>
              <w:br/>
            </w:r>
            <w:r>
              <w:rPr>
                <w:rFonts w:ascii="Times New Roman"/>
                <w:b w:val="false"/>
                <w:i w:val="false"/>
                <w:color w:val="000000"/>
                <w:sz w:val="20"/>
              </w:rPr>
              <w:t>осуществляющей микрофинансовую</w:t>
            </w:r>
            <w:r>
              <w:br/>
            </w:r>
            <w:r>
              <w:rPr>
                <w:rFonts w:ascii="Times New Roman"/>
                <w:b w:val="false"/>
                <w:i w:val="false"/>
                <w:color w:val="000000"/>
                <w:sz w:val="20"/>
              </w:rPr>
              <w:t>деятельность, нормам</w:t>
            </w:r>
            <w:r>
              <w:br/>
            </w:r>
            <w:r>
              <w:rPr>
                <w:rFonts w:ascii="Times New Roman"/>
                <w:b w:val="false"/>
                <w:i w:val="false"/>
                <w:color w:val="000000"/>
                <w:sz w:val="20"/>
              </w:rPr>
              <w:t>и лимитам, методике их расчетов</w:t>
            </w:r>
          </w:p>
        </w:tc>
      </w:tr>
    </w:tbl>
    <w:bookmarkStart w:name="z272" w:id="126"/>
    <w:p>
      <w:pPr>
        <w:spacing w:after="0"/>
        <w:ind w:left="0"/>
        <w:jc w:val="left"/>
      </w:pPr>
      <w:r>
        <w:rPr>
          <w:rFonts w:ascii="Times New Roman"/>
          <w:b/>
          <w:i w:val="false"/>
          <w:color w:val="000000"/>
        </w:rPr>
        <w:t xml:space="preserve"> Таблица активов микрофинансовой организации, взвешенных по степени кредитного риска вложений</w:t>
      </w:r>
    </w:p>
    <w:bookmarkEnd w:id="126"/>
    <w:p>
      <w:pPr>
        <w:spacing w:after="0"/>
        <w:ind w:left="0"/>
        <w:jc w:val="both"/>
      </w:pPr>
      <w:r>
        <w:rPr>
          <w:rFonts w:ascii="Times New Roman"/>
          <w:b w:val="false"/>
          <w:i w:val="false"/>
          <w:color w:val="ff0000"/>
          <w:sz w:val="28"/>
        </w:rPr>
        <w:t xml:space="preserve">
      Сноска. Пруденциальные нормативы дополнены приложением в соответствии с постановлением Правления Агентства РК по регулированию и развитию финансового рынка от 07.06.2023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30.04.2024 </w:t>
      </w:r>
      <w:r>
        <w:rPr>
          <w:rFonts w:ascii="Times New Roman"/>
          <w:b w:val="false"/>
          <w:i w:val="false"/>
          <w:color w:val="ff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 и иные требования к Национальному Банку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(Стандард энд Пурс) или рейтингом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местными исполнительными органами городов Астаны,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 обществом "Банк Развития Казахстана" в соответствии с Законом Республики Казахстан "О рынке ценных бумаг", акционерными обществами "Фонд национального благосостояния "Самрук-Қазына", "Национальный управляющий холдинг "Байтерек", "Фонд проблемных кредитов", а также ценные бумаги, выпущенные Евразийским Банком Развития и номинированные в национальной валюте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текущим счетам к банкам, имеющим долгосрочный рейтинг не ниже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выпущенные местными исполнительными органами Республики Казахстан, за исключением государственных ценных бумаг, выпущенных местными исполнительными органами городов Астаны, Алматы и Шымкента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микрофинансовой организацией на балансе и имеющие кредитный рейтинг от "ААА" до "АА-" агентства Standard &amp; Poor's (Стандард энд Пурс) или рейтинг аналогичного уровня одного из других рейтинговых агентств или рейтинговую оценку от "kzAAA" до "kzAA-"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 обеспеченные залогом, выданные на цели, связанные с осуществлением предпринимательской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не ниже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акционерного общества "Казахстанская фондовая биржа",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ценных бумаг, и соответствующие следующим критериям: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объем инвестиций в один выпуск ценных бумаг эмитента не превышает 0,02 (ноль целых две сотых) процента от собственного капитала;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валюта выпуска ценных бумаг –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микрофинансовой организацией на балансе и имеющие кредитный рейтинг от "А+" до "А-" агентства Standard &amp; Poor's (Стандард энд Пурс) или рейтинг аналогичного уровня одного из других рейтинговых агентств или рейтинговую оценку от "kzA+" до "kzA-"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текущим счетам к банкам-резидентам Республики Казахстан, имеющим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от "ВВВ-" до "ВВ+" (включительно)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микрокредиты, выданные на цели, связанные с осуществлением предпринимательской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Потребительские микрокредиты, обеспеченные залогом автотранспортного средства, полностью покрывающим сумму выданного микрокредита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организациях-резидентах Республики Казахстан, не имеющих соответствующей рейтинговой оценки, и организациях-нерезидентах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организаций-резидентов Республики Казахстан, не имеющих соответствующей рейтинговой оценки, и организаций-нерезидентов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(Стандард энд Пурс)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микрофинансовой организацией на балансе, и имеющие кредитный рейтинг от "ВВВ+" до "ВВВ-" агентства Standard &amp; Poor's (Стандард энд Пурс) или рейтинг аналогичного уровня одного из других рейтинговых агентств, или рейтинговую оценку от "kzBBB+" до "kzBBB-"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текущим счетам к банкам-резидентам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или банку-нерезиденту Республики Казахстан, имеющему долговой рейтинг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Потребительские микрокредиты, в том числе микрокредиты, выданные в соответствии с пунктом 3-1 статьи 4 Закона Республики Казахстан "О микрофинансовой деятельности" (далее – Закон), обеспеченные залогом, полностью покрывающим сумму микрокредита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потребительские микрокредиты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микрокредиты, выданные в соответствии с пунктом 3-1 статьи 4 Закона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не превышающие 15 (пятнадцати)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акции (доли участия в уставном капитале), превышающие 15 (пятнадцать) процентов от величины собственного капитала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сети интернет,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организациях-нерезидентах Республики Казахстан,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нижеуказанных иностранных государств: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Княжество Андорра;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Соединенные Штаты Америки (только в части территорий Американских Виргинских островов, острова Гуам и содружества Пуэрто-Рико);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Государство Антигуа и Барбуда;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Содружество Багамских островов;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Государство Барбадос;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Государство Бахрейн;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Государство Белиз;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Государство Бруней Даруссалам;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Объединенные Арабские Эмираты (только в части территории города Дубай);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Республика Вануату;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Республика Гватемала;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Государство Гренада;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Республика Джибути;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Доминиканская Республика;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Новая Зеландия (только в части территории островов Кука и Ниуэ);</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Республика Индонезия;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Испания (только в части территории Канарских островов);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Республика Кипр;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Федеральная Исламская Республика Коморские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Республика Коста-Рика;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Китайская Народная Республика (только в части территорий специальных административных районов Аомынь (Макао) и Сянган (Гонконг);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Республика Либерия;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Княжество Лихтенштейн;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Республика Маврикий;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Малайзия (только в части территории анклава Лабуан);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Мальдивская Республика;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Республика Мальта;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Республика Маршалловы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Княжество Монако;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Союз Мьянма;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Республика Науру;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Нидерланды (только в части территории острова Аруба и зависимых территорий Антильских островов);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Федеративная Республика Нигерия;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Португалия (только в части территории островов Мадейра);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Республика Палау;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Республика Панама;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Независимое Государство Самоа;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Республика Сейшельские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Государство Сент-Винсент и Гренадины;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Федерация Сент-Китс и Невис;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Государство Сент-Люсия;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Королевство Тонга;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Соединенное Королевство Великобритании и Северной Ирландии (только в части следующих территорий):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Ангилья;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Британские Виргинские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Каймановы острова;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Монтсеррат;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Острова Теркс и Кайкос;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 Мэн;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Нормандские острова (острова Гернси, Джерси, Сарк, Олдерни);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Республика Филиппины;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Демократическая Республика Шри-Ланка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нижеуказанных иностранных государств:</w:t>
            </w:r>
          </w:p>
          <w:p>
            <w:pPr>
              <w:spacing w:after="20"/>
              <w:ind w:left="20"/>
              <w:jc w:val="both"/>
            </w:pP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имеющими долговой рейтинг ниже "ВВ-" агентства Standard &amp; Poor's (Стандард энд Пурс) или рейтинг аналогичного уровня одного из других рейтинговых агентств, и организациями-нерезидентами Республики Казахстан,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p>
          <w:p>
            <w:pPr>
              <w:spacing w:after="20"/>
              <w:ind w:left="20"/>
              <w:jc w:val="both"/>
            </w:pPr>
            <w:r>
              <w:rPr>
                <w:rFonts w:ascii="Times New Roman"/>
                <w:b w:val="false"/>
                <w:i w:val="false"/>
                <w:color w:val="000000"/>
                <w:sz w:val="20"/>
              </w:rPr>
              <w:t>1) Княжество Андорра;</w:t>
            </w:r>
          </w:p>
          <w:p>
            <w:pPr>
              <w:spacing w:after="20"/>
              <w:ind w:left="20"/>
              <w:jc w:val="both"/>
            </w:pPr>
            <w:r>
              <w:rPr>
                <w:rFonts w:ascii="Times New Roman"/>
                <w:b w:val="false"/>
                <w:i w:val="false"/>
                <w:color w:val="000000"/>
                <w:sz w:val="20"/>
              </w:rPr>
              <w:t>2) Соединенные Штаты Америки (только в части территорий Американских Виргинских островов, острова Гуам и содружества Пуэрто-Рико);</w:t>
            </w:r>
          </w:p>
          <w:p>
            <w:pPr>
              <w:spacing w:after="20"/>
              <w:ind w:left="20"/>
              <w:jc w:val="both"/>
            </w:pPr>
            <w:r>
              <w:rPr>
                <w:rFonts w:ascii="Times New Roman"/>
                <w:b w:val="false"/>
                <w:i w:val="false"/>
                <w:color w:val="000000"/>
                <w:sz w:val="20"/>
              </w:rPr>
              <w:t>3) Государство Антигуа и Барбуда;</w:t>
            </w:r>
          </w:p>
          <w:p>
            <w:pPr>
              <w:spacing w:after="20"/>
              <w:ind w:left="20"/>
              <w:jc w:val="both"/>
            </w:pPr>
            <w:r>
              <w:rPr>
                <w:rFonts w:ascii="Times New Roman"/>
                <w:b w:val="false"/>
                <w:i w:val="false"/>
                <w:color w:val="000000"/>
                <w:sz w:val="20"/>
              </w:rPr>
              <w:t>4) Содружество Багамских островов;</w:t>
            </w:r>
          </w:p>
          <w:p>
            <w:pPr>
              <w:spacing w:after="20"/>
              <w:ind w:left="20"/>
              <w:jc w:val="both"/>
            </w:pPr>
            <w:r>
              <w:rPr>
                <w:rFonts w:ascii="Times New Roman"/>
                <w:b w:val="false"/>
                <w:i w:val="false"/>
                <w:color w:val="000000"/>
                <w:sz w:val="20"/>
              </w:rPr>
              <w:t>5) Государство Барбадос;</w:t>
            </w:r>
          </w:p>
          <w:p>
            <w:pPr>
              <w:spacing w:after="20"/>
              <w:ind w:left="20"/>
              <w:jc w:val="both"/>
            </w:pPr>
            <w:r>
              <w:rPr>
                <w:rFonts w:ascii="Times New Roman"/>
                <w:b w:val="false"/>
                <w:i w:val="false"/>
                <w:color w:val="000000"/>
                <w:sz w:val="20"/>
              </w:rPr>
              <w:t>6) Государство Бахрейн;</w:t>
            </w:r>
          </w:p>
          <w:p>
            <w:pPr>
              <w:spacing w:after="20"/>
              <w:ind w:left="20"/>
              <w:jc w:val="both"/>
            </w:pPr>
            <w:r>
              <w:rPr>
                <w:rFonts w:ascii="Times New Roman"/>
                <w:b w:val="false"/>
                <w:i w:val="false"/>
                <w:color w:val="000000"/>
                <w:sz w:val="20"/>
              </w:rPr>
              <w:t>7) Государство Белиз;</w:t>
            </w:r>
          </w:p>
          <w:p>
            <w:pPr>
              <w:spacing w:after="20"/>
              <w:ind w:left="20"/>
              <w:jc w:val="both"/>
            </w:pPr>
            <w:r>
              <w:rPr>
                <w:rFonts w:ascii="Times New Roman"/>
                <w:b w:val="false"/>
                <w:i w:val="false"/>
                <w:color w:val="000000"/>
                <w:sz w:val="20"/>
              </w:rPr>
              <w:t>8) Государство Бруней Даруссалам;</w:t>
            </w:r>
          </w:p>
          <w:p>
            <w:pPr>
              <w:spacing w:after="20"/>
              <w:ind w:left="20"/>
              <w:jc w:val="both"/>
            </w:pPr>
            <w:r>
              <w:rPr>
                <w:rFonts w:ascii="Times New Roman"/>
                <w:b w:val="false"/>
                <w:i w:val="false"/>
                <w:color w:val="000000"/>
                <w:sz w:val="20"/>
              </w:rPr>
              <w:t>9) Объединенные Арабские Эмираты (только в части территории города Дубай);</w:t>
            </w:r>
          </w:p>
          <w:p>
            <w:pPr>
              <w:spacing w:after="20"/>
              <w:ind w:left="20"/>
              <w:jc w:val="both"/>
            </w:pPr>
            <w:r>
              <w:rPr>
                <w:rFonts w:ascii="Times New Roman"/>
                <w:b w:val="false"/>
                <w:i w:val="false"/>
                <w:color w:val="000000"/>
                <w:sz w:val="20"/>
              </w:rPr>
              <w:t>10) Республика Вануату;</w:t>
            </w:r>
          </w:p>
          <w:p>
            <w:pPr>
              <w:spacing w:after="20"/>
              <w:ind w:left="20"/>
              <w:jc w:val="both"/>
            </w:pPr>
            <w:r>
              <w:rPr>
                <w:rFonts w:ascii="Times New Roman"/>
                <w:b w:val="false"/>
                <w:i w:val="false"/>
                <w:color w:val="000000"/>
                <w:sz w:val="20"/>
              </w:rPr>
              <w:t>11) Республика Гватемала;</w:t>
            </w:r>
          </w:p>
          <w:p>
            <w:pPr>
              <w:spacing w:after="20"/>
              <w:ind w:left="20"/>
              <w:jc w:val="both"/>
            </w:pPr>
            <w:r>
              <w:rPr>
                <w:rFonts w:ascii="Times New Roman"/>
                <w:b w:val="false"/>
                <w:i w:val="false"/>
                <w:color w:val="000000"/>
                <w:sz w:val="20"/>
              </w:rPr>
              <w:t>12) Государство Гренада;</w:t>
            </w:r>
          </w:p>
          <w:p>
            <w:pPr>
              <w:spacing w:after="20"/>
              <w:ind w:left="20"/>
              <w:jc w:val="both"/>
            </w:pPr>
            <w:r>
              <w:rPr>
                <w:rFonts w:ascii="Times New Roman"/>
                <w:b w:val="false"/>
                <w:i w:val="false"/>
                <w:color w:val="000000"/>
                <w:sz w:val="20"/>
              </w:rPr>
              <w:t>13) Республика Джибути;</w:t>
            </w:r>
          </w:p>
          <w:p>
            <w:pPr>
              <w:spacing w:after="20"/>
              <w:ind w:left="20"/>
              <w:jc w:val="both"/>
            </w:pPr>
            <w:r>
              <w:rPr>
                <w:rFonts w:ascii="Times New Roman"/>
                <w:b w:val="false"/>
                <w:i w:val="false"/>
                <w:color w:val="000000"/>
                <w:sz w:val="20"/>
              </w:rPr>
              <w:t>14) Доминиканская Республика;</w:t>
            </w:r>
          </w:p>
          <w:p>
            <w:pPr>
              <w:spacing w:after="20"/>
              <w:ind w:left="20"/>
              <w:jc w:val="both"/>
            </w:pPr>
            <w:r>
              <w:rPr>
                <w:rFonts w:ascii="Times New Roman"/>
                <w:b w:val="false"/>
                <w:i w:val="false"/>
                <w:color w:val="000000"/>
                <w:sz w:val="20"/>
              </w:rPr>
              <w:t>15) Новая Зеландия (только в части территории островов Кука и Ниуэ);</w:t>
            </w:r>
          </w:p>
          <w:p>
            <w:pPr>
              <w:spacing w:after="20"/>
              <w:ind w:left="20"/>
              <w:jc w:val="both"/>
            </w:pPr>
            <w:r>
              <w:rPr>
                <w:rFonts w:ascii="Times New Roman"/>
                <w:b w:val="false"/>
                <w:i w:val="false"/>
                <w:color w:val="000000"/>
                <w:sz w:val="20"/>
              </w:rPr>
              <w:t>16) Республика Индонезия;</w:t>
            </w:r>
          </w:p>
          <w:p>
            <w:pPr>
              <w:spacing w:after="20"/>
              <w:ind w:left="20"/>
              <w:jc w:val="both"/>
            </w:pPr>
            <w:r>
              <w:rPr>
                <w:rFonts w:ascii="Times New Roman"/>
                <w:b w:val="false"/>
                <w:i w:val="false"/>
                <w:color w:val="000000"/>
                <w:sz w:val="20"/>
              </w:rPr>
              <w:t>17) Испания (только в части территории Канарских островов);</w:t>
            </w:r>
          </w:p>
          <w:p>
            <w:pPr>
              <w:spacing w:after="20"/>
              <w:ind w:left="20"/>
              <w:jc w:val="both"/>
            </w:pPr>
            <w:r>
              <w:rPr>
                <w:rFonts w:ascii="Times New Roman"/>
                <w:b w:val="false"/>
                <w:i w:val="false"/>
                <w:color w:val="000000"/>
                <w:sz w:val="20"/>
              </w:rPr>
              <w:t>18) Республика Кипр;</w:t>
            </w:r>
          </w:p>
          <w:p>
            <w:pPr>
              <w:spacing w:after="20"/>
              <w:ind w:left="20"/>
              <w:jc w:val="both"/>
            </w:pPr>
            <w:r>
              <w:rPr>
                <w:rFonts w:ascii="Times New Roman"/>
                <w:b w:val="false"/>
                <w:i w:val="false"/>
                <w:color w:val="000000"/>
                <w:sz w:val="20"/>
              </w:rPr>
              <w:t>19) Федеральная Исламская Республика Коморские Острова;</w:t>
            </w:r>
          </w:p>
          <w:p>
            <w:pPr>
              <w:spacing w:after="20"/>
              <w:ind w:left="20"/>
              <w:jc w:val="both"/>
            </w:pPr>
            <w:r>
              <w:rPr>
                <w:rFonts w:ascii="Times New Roman"/>
                <w:b w:val="false"/>
                <w:i w:val="false"/>
                <w:color w:val="000000"/>
                <w:sz w:val="20"/>
              </w:rPr>
              <w:t>20) Республика Коста-Рика;</w:t>
            </w:r>
          </w:p>
          <w:p>
            <w:pPr>
              <w:spacing w:after="20"/>
              <w:ind w:left="20"/>
              <w:jc w:val="both"/>
            </w:pPr>
            <w:r>
              <w:rPr>
                <w:rFonts w:ascii="Times New Roman"/>
                <w:b w:val="false"/>
                <w:i w:val="false"/>
                <w:color w:val="000000"/>
                <w:sz w:val="20"/>
              </w:rPr>
              <w:t>21) Китайская Народная Республика (только в части территорий специальных административных районов Аомынь (Макао) и Сянган (Гонконг);</w:t>
            </w:r>
          </w:p>
          <w:p>
            <w:pPr>
              <w:spacing w:after="20"/>
              <w:ind w:left="20"/>
              <w:jc w:val="both"/>
            </w:pPr>
            <w:r>
              <w:rPr>
                <w:rFonts w:ascii="Times New Roman"/>
                <w:b w:val="false"/>
                <w:i w:val="false"/>
                <w:color w:val="000000"/>
                <w:sz w:val="20"/>
              </w:rPr>
              <w:t>22) Республика Либерия;</w:t>
            </w:r>
          </w:p>
          <w:p>
            <w:pPr>
              <w:spacing w:after="20"/>
              <w:ind w:left="20"/>
              <w:jc w:val="both"/>
            </w:pPr>
            <w:r>
              <w:rPr>
                <w:rFonts w:ascii="Times New Roman"/>
                <w:b w:val="false"/>
                <w:i w:val="false"/>
                <w:color w:val="000000"/>
                <w:sz w:val="20"/>
              </w:rPr>
              <w:t>23) Княжество Лихтенштейн;</w:t>
            </w:r>
          </w:p>
          <w:p>
            <w:pPr>
              <w:spacing w:after="20"/>
              <w:ind w:left="20"/>
              <w:jc w:val="both"/>
            </w:pPr>
            <w:r>
              <w:rPr>
                <w:rFonts w:ascii="Times New Roman"/>
                <w:b w:val="false"/>
                <w:i w:val="false"/>
                <w:color w:val="000000"/>
                <w:sz w:val="20"/>
              </w:rPr>
              <w:t>24) Республика Маврикий;</w:t>
            </w:r>
          </w:p>
          <w:p>
            <w:pPr>
              <w:spacing w:after="20"/>
              <w:ind w:left="20"/>
              <w:jc w:val="both"/>
            </w:pPr>
            <w:r>
              <w:rPr>
                <w:rFonts w:ascii="Times New Roman"/>
                <w:b w:val="false"/>
                <w:i w:val="false"/>
                <w:color w:val="000000"/>
                <w:sz w:val="20"/>
              </w:rPr>
              <w:t>25) Малайзия (только в части территории анклава Лабуан);</w:t>
            </w:r>
          </w:p>
          <w:p>
            <w:pPr>
              <w:spacing w:after="20"/>
              <w:ind w:left="20"/>
              <w:jc w:val="both"/>
            </w:pPr>
            <w:r>
              <w:rPr>
                <w:rFonts w:ascii="Times New Roman"/>
                <w:b w:val="false"/>
                <w:i w:val="false"/>
                <w:color w:val="000000"/>
                <w:sz w:val="20"/>
              </w:rPr>
              <w:t>26) Мальдивская Республика;</w:t>
            </w:r>
          </w:p>
          <w:p>
            <w:pPr>
              <w:spacing w:after="20"/>
              <w:ind w:left="20"/>
              <w:jc w:val="both"/>
            </w:pPr>
            <w:r>
              <w:rPr>
                <w:rFonts w:ascii="Times New Roman"/>
                <w:b w:val="false"/>
                <w:i w:val="false"/>
                <w:color w:val="000000"/>
                <w:sz w:val="20"/>
              </w:rPr>
              <w:t>27) Республика Мальта;</w:t>
            </w:r>
          </w:p>
          <w:p>
            <w:pPr>
              <w:spacing w:after="20"/>
              <w:ind w:left="20"/>
              <w:jc w:val="both"/>
            </w:pPr>
            <w:r>
              <w:rPr>
                <w:rFonts w:ascii="Times New Roman"/>
                <w:b w:val="false"/>
                <w:i w:val="false"/>
                <w:color w:val="000000"/>
                <w:sz w:val="20"/>
              </w:rPr>
              <w:t>28) Республика Маршалловы острова;</w:t>
            </w:r>
          </w:p>
          <w:p>
            <w:pPr>
              <w:spacing w:after="20"/>
              <w:ind w:left="20"/>
              <w:jc w:val="both"/>
            </w:pPr>
            <w:r>
              <w:rPr>
                <w:rFonts w:ascii="Times New Roman"/>
                <w:b w:val="false"/>
                <w:i w:val="false"/>
                <w:color w:val="000000"/>
                <w:sz w:val="20"/>
              </w:rPr>
              <w:t>29) Княжество Монако;</w:t>
            </w:r>
          </w:p>
          <w:p>
            <w:pPr>
              <w:spacing w:after="20"/>
              <w:ind w:left="20"/>
              <w:jc w:val="both"/>
            </w:pPr>
            <w:r>
              <w:rPr>
                <w:rFonts w:ascii="Times New Roman"/>
                <w:b w:val="false"/>
                <w:i w:val="false"/>
                <w:color w:val="000000"/>
                <w:sz w:val="20"/>
              </w:rPr>
              <w:t>30) Союз Мьянма;</w:t>
            </w:r>
          </w:p>
          <w:p>
            <w:pPr>
              <w:spacing w:after="20"/>
              <w:ind w:left="20"/>
              <w:jc w:val="both"/>
            </w:pPr>
            <w:r>
              <w:rPr>
                <w:rFonts w:ascii="Times New Roman"/>
                <w:b w:val="false"/>
                <w:i w:val="false"/>
                <w:color w:val="000000"/>
                <w:sz w:val="20"/>
              </w:rPr>
              <w:t>31) Республика Науру;</w:t>
            </w:r>
          </w:p>
          <w:p>
            <w:pPr>
              <w:spacing w:after="20"/>
              <w:ind w:left="20"/>
              <w:jc w:val="both"/>
            </w:pPr>
            <w:r>
              <w:rPr>
                <w:rFonts w:ascii="Times New Roman"/>
                <w:b w:val="false"/>
                <w:i w:val="false"/>
                <w:color w:val="000000"/>
                <w:sz w:val="20"/>
              </w:rPr>
              <w:t>32) Нидерланды (только в части территории острова Аруба и зависимых территорий Антильских островов);</w:t>
            </w:r>
          </w:p>
          <w:p>
            <w:pPr>
              <w:spacing w:after="20"/>
              <w:ind w:left="20"/>
              <w:jc w:val="both"/>
            </w:pPr>
            <w:r>
              <w:rPr>
                <w:rFonts w:ascii="Times New Roman"/>
                <w:b w:val="false"/>
                <w:i w:val="false"/>
                <w:color w:val="000000"/>
                <w:sz w:val="20"/>
              </w:rPr>
              <w:t>33) Федеративная Республика Нигерия;</w:t>
            </w:r>
          </w:p>
          <w:p>
            <w:pPr>
              <w:spacing w:after="20"/>
              <w:ind w:left="20"/>
              <w:jc w:val="both"/>
            </w:pPr>
            <w:r>
              <w:rPr>
                <w:rFonts w:ascii="Times New Roman"/>
                <w:b w:val="false"/>
                <w:i w:val="false"/>
                <w:color w:val="000000"/>
                <w:sz w:val="20"/>
              </w:rPr>
              <w:t>34) Португалия (только в части территории островов Мадейра);</w:t>
            </w:r>
          </w:p>
          <w:p>
            <w:pPr>
              <w:spacing w:after="20"/>
              <w:ind w:left="20"/>
              <w:jc w:val="both"/>
            </w:pPr>
            <w:r>
              <w:rPr>
                <w:rFonts w:ascii="Times New Roman"/>
                <w:b w:val="false"/>
                <w:i w:val="false"/>
                <w:color w:val="000000"/>
                <w:sz w:val="20"/>
              </w:rPr>
              <w:t>35) Республика Палау;</w:t>
            </w:r>
          </w:p>
          <w:p>
            <w:pPr>
              <w:spacing w:after="20"/>
              <w:ind w:left="20"/>
              <w:jc w:val="both"/>
            </w:pPr>
            <w:r>
              <w:rPr>
                <w:rFonts w:ascii="Times New Roman"/>
                <w:b w:val="false"/>
                <w:i w:val="false"/>
                <w:color w:val="000000"/>
                <w:sz w:val="20"/>
              </w:rPr>
              <w:t>36) Республика Панама;</w:t>
            </w:r>
          </w:p>
          <w:p>
            <w:pPr>
              <w:spacing w:after="20"/>
              <w:ind w:left="20"/>
              <w:jc w:val="both"/>
            </w:pPr>
            <w:r>
              <w:rPr>
                <w:rFonts w:ascii="Times New Roman"/>
                <w:b w:val="false"/>
                <w:i w:val="false"/>
                <w:color w:val="000000"/>
                <w:sz w:val="20"/>
              </w:rPr>
              <w:t>37) Независимое Государство Самоа;</w:t>
            </w:r>
          </w:p>
          <w:p>
            <w:pPr>
              <w:spacing w:after="20"/>
              <w:ind w:left="20"/>
              <w:jc w:val="both"/>
            </w:pPr>
            <w:r>
              <w:rPr>
                <w:rFonts w:ascii="Times New Roman"/>
                <w:b w:val="false"/>
                <w:i w:val="false"/>
                <w:color w:val="000000"/>
                <w:sz w:val="20"/>
              </w:rPr>
              <w:t>38) Республика Сейшельские острова;</w:t>
            </w:r>
          </w:p>
          <w:p>
            <w:pPr>
              <w:spacing w:after="20"/>
              <w:ind w:left="20"/>
              <w:jc w:val="both"/>
            </w:pPr>
            <w:r>
              <w:rPr>
                <w:rFonts w:ascii="Times New Roman"/>
                <w:b w:val="false"/>
                <w:i w:val="false"/>
                <w:color w:val="000000"/>
                <w:sz w:val="20"/>
              </w:rPr>
              <w:t>39) Государство Сент-Винсент и Гренадины;</w:t>
            </w:r>
          </w:p>
          <w:p>
            <w:pPr>
              <w:spacing w:after="20"/>
              <w:ind w:left="20"/>
              <w:jc w:val="both"/>
            </w:pPr>
            <w:r>
              <w:rPr>
                <w:rFonts w:ascii="Times New Roman"/>
                <w:b w:val="false"/>
                <w:i w:val="false"/>
                <w:color w:val="000000"/>
                <w:sz w:val="20"/>
              </w:rPr>
              <w:t>40) Федерация Сент-Китс и Невис;</w:t>
            </w:r>
          </w:p>
          <w:p>
            <w:pPr>
              <w:spacing w:after="20"/>
              <w:ind w:left="20"/>
              <w:jc w:val="both"/>
            </w:pPr>
            <w:r>
              <w:rPr>
                <w:rFonts w:ascii="Times New Roman"/>
                <w:b w:val="false"/>
                <w:i w:val="false"/>
                <w:color w:val="000000"/>
                <w:sz w:val="20"/>
              </w:rPr>
              <w:t>41) Государство Сент-Люсия;</w:t>
            </w:r>
          </w:p>
          <w:p>
            <w:pPr>
              <w:spacing w:after="20"/>
              <w:ind w:left="20"/>
              <w:jc w:val="both"/>
            </w:pPr>
            <w:r>
              <w:rPr>
                <w:rFonts w:ascii="Times New Roman"/>
                <w:b w:val="false"/>
                <w:i w:val="false"/>
                <w:color w:val="000000"/>
                <w:sz w:val="20"/>
              </w:rPr>
              <w:t>42) Королевство Тонга;</w:t>
            </w:r>
          </w:p>
          <w:p>
            <w:pPr>
              <w:spacing w:after="20"/>
              <w:ind w:left="20"/>
              <w:jc w:val="both"/>
            </w:pPr>
            <w:r>
              <w:rPr>
                <w:rFonts w:ascii="Times New Roman"/>
                <w:b w:val="false"/>
                <w:i w:val="false"/>
                <w:color w:val="000000"/>
                <w:sz w:val="20"/>
              </w:rPr>
              <w:t>43) Соединенное Королевство Великобритании и Северной Ирландии (только в части следующих территорий):</w:t>
            </w:r>
          </w:p>
          <w:p>
            <w:pPr>
              <w:spacing w:after="20"/>
              <w:ind w:left="20"/>
              <w:jc w:val="both"/>
            </w:pPr>
            <w:r>
              <w:rPr>
                <w:rFonts w:ascii="Times New Roman"/>
                <w:b w:val="false"/>
                <w:i w:val="false"/>
                <w:color w:val="000000"/>
                <w:sz w:val="20"/>
              </w:rPr>
              <w:t>Острова Ангилья;</w:t>
            </w:r>
          </w:p>
          <w:p>
            <w:pPr>
              <w:spacing w:after="20"/>
              <w:ind w:left="20"/>
              <w:jc w:val="both"/>
            </w:pPr>
            <w:r>
              <w:rPr>
                <w:rFonts w:ascii="Times New Roman"/>
                <w:b w:val="false"/>
                <w:i w:val="false"/>
                <w:color w:val="000000"/>
                <w:sz w:val="20"/>
              </w:rPr>
              <w:t>Бермудские острова;</w:t>
            </w:r>
          </w:p>
          <w:p>
            <w:pPr>
              <w:spacing w:after="20"/>
              <w:ind w:left="20"/>
              <w:jc w:val="both"/>
            </w:pPr>
            <w:r>
              <w:rPr>
                <w:rFonts w:ascii="Times New Roman"/>
                <w:b w:val="false"/>
                <w:i w:val="false"/>
                <w:color w:val="000000"/>
                <w:sz w:val="20"/>
              </w:rPr>
              <w:t>Британские Виргинские острова;</w:t>
            </w:r>
          </w:p>
          <w:p>
            <w:pPr>
              <w:spacing w:after="20"/>
              <w:ind w:left="20"/>
              <w:jc w:val="both"/>
            </w:pP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Каймановы острова;</w:t>
            </w:r>
          </w:p>
          <w:p>
            <w:pPr>
              <w:spacing w:after="20"/>
              <w:ind w:left="20"/>
              <w:jc w:val="both"/>
            </w:pPr>
            <w:r>
              <w:rPr>
                <w:rFonts w:ascii="Times New Roman"/>
                <w:b w:val="false"/>
                <w:i w:val="false"/>
                <w:color w:val="000000"/>
                <w:sz w:val="20"/>
              </w:rPr>
              <w:t>Остров Монтсеррат;</w:t>
            </w:r>
          </w:p>
          <w:p>
            <w:pPr>
              <w:spacing w:after="20"/>
              <w:ind w:left="20"/>
              <w:jc w:val="both"/>
            </w:pPr>
            <w:r>
              <w:rPr>
                <w:rFonts w:ascii="Times New Roman"/>
                <w:b w:val="false"/>
                <w:i w:val="false"/>
                <w:color w:val="000000"/>
                <w:sz w:val="20"/>
              </w:rPr>
              <w:t>Острова Теркс и Кайкос;</w:t>
            </w:r>
          </w:p>
          <w:p>
            <w:pPr>
              <w:spacing w:after="20"/>
              <w:ind w:left="20"/>
              <w:jc w:val="both"/>
            </w:pPr>
            <w:r>
              <w:rPr>
                <w:rFonts w:ascii="Times New Roman"/>
                <w:b w:val="false"/>
                <w:i w:val="false"/>
                <w:color w:val="000000"/>
                <w:sz w:val="20"/>
              </w:rPr>
              <w:t>Остров Мэн;</w:t>
            </w:r>
          </w:p>
          <w:p>
            <w:pPr>
              <w:spacing w:after="20"/>
              <w:ind w:left="20"/>
              <w:jc w:val="both"/>
            </w:pPr>
            <w:r>
              <w:rPr>
                <w:rFonts w:ascii="Times New Roman"/>
                <w:b w:val="false"/>
                <w:i w:val="false"/>
                <w:color w:val="000000"/>
                <w:sz w:val="20"/>
              </w:rPr>
              <w:t>Нормандские острова (острова Гернси, Джерси, Сарк, Олдерни);</w:t>
            </w:r>
          </w:p>
          <w:p>
            <w:pPr>
              <w:spacing w:after="20"/>
              <w:ind w:left="20"/>
              <w:jc w:val="both"/>
            </w:pPr>
            <w:r>
              <w:rPr>
                <w:rFonts w:ascii="Times New Roman"/>
                <w:b w:val="false"/>
                <w:i w:val="false"/>
                <w:color w:val="000000"/>
                <w:sz w:val="20"/>
              </w:rPr>
              <w:t>44) Республика Филиппины;</w:t>
            </w:r>
          </w:p>
          <w:p>
            <w:pPr>
              <w:spacing w:after="20"/>
              <w:ind w:left="20"/>
              <w:jc w:val="both"/>
            </w:pPr>
            <w:r>
              <w:rPr>
                <w:rFonts w:ascii="Times New Roman"/>
                <w:b w:val="false"/>
                <w:i w:val="false"/>
                <w:color w:val="000000"/>
                <w:sz w:val="20"/>
              </w:rPr>
              <w:t>45) Демократическая Республика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микрофинансовой организацией на балансе и имеющие кредитный рейтинг от "ВВ+" до "ВВ-"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Таблице активов</w:t>
            </w:r>
            <w:r>
              <w:br/>
            </w:r>
            <w:r>
              <w:rPr>
                <w:rFonts w:ascii="Times New Roman"/>
                <w:b w:val="false"/>
                <w:i w:val="false"/>
                <w:color w:val="000000"/>
                <w:sz w:val="20"/>
              </w:rPr>
              <w:t>микрофинансовой организации,</w:t>
            </w:r>
            <w:r>
              <w:br/>
            </w:r>
            <w:r>
              <w:rPr>
                <w:rFonts w:ascii="Times New Roman"/>
                <w:b w:val="false"/>
                <w:i w:val="false"/>
                <w:color w:val="000000"/>
                <w:sz w:val="20"/>
              </w:rPr>
              <w:t>взвешенных по степени</w:t>
            </w:r>
            <w:r>
              <w:br/>
            </w:r>
            <w:r>
              <w:rPr>
                <w:rFonts w:ascii="Times New Roman"/>
                <w:b w:val="false"/>
                <w:i w:val="false"/>
                <w:color w:val="000000"/>
                <w:sz w:val="20"/>
              </w:rPr>
              <w:t>кредитного риска вложений</w:t>
            </w:r>
          </w:p>
        </w:tc>
      </w:tr>
    </w:tbl>
    <w:bookmarkStart w:name="z274" w:id="127"/>
    <w:p>
      <w:pPr>
        <w:spacing w:after="0"/>
        <w:ind w:left="0"/>
        <w:jc w:val="left"/>
      </w:pPr>
      <w:r>
        <w:rPr>
          <w:rFonts w:ascii="Times New Roman"/>
          <w:b/>
          <w:i w:val="false"/>
          <w:color w:val="000000"/>
        </w:rPr>
        <w:t xml:space="preserve"> Пояснения к расчету активов микрофинансовой организации, подлежащих взвешиванию по степени кредитного риска вложений</w:t>
      </w:r>
    </w:p>
    <w:bookmarkEnd w:id="127"/>
    <w:bookmarkStart w:name="z275" w:id="128"/>
    <w:p>
      <w:pPr>
        <w:spacing w:after="0"/>
        <w:ind w:left="0"/>
        <w:jc w:val="both"/>
      </w:pPr>
      <w:r>
        <w:rPr>
          <w:rFonts w:ascii="Times New Roman"/>
          <w:b w:val="false"/>
          <w:i w:val="false"/>
          <w:color w:val="000000"/>
          <w:sz w:val="28"/>
        </w:rPr>
        <w:t xml:space="preserve">
      1. Активы, подлежащие взвешиванию по степени кредитного риска вложений, включаются по балансу микрофинансовой организации, за вычетом провизий (резервов), сформированных в соответствии с Правилами осуществления классификации активов и условных обязательств по предоставленным микрокредитам, отнесения активов по предоставленным микрокредитам к сомнительным и безнадежным, а также создания провизий (резервов) против них,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2018 года № 62, зарегистрированным в Реестре государственной регистрации нормативных правовых актов под № 16858.</w:t>
      </w:r>
    </w:p>
    <w:bookmarkEnd w:id="128"/>
    <w:bookmarkStart w:name="z276" w:id="129"/>
    <w:p>
      <w:pPr>
        <w:spacing w:after="0"/>
        <w:ind w:left="0"/>
        <w:jc w:val="both"/>
      </w:pPr>
      <w:r>
        <w:rPr>
          <w:rFonts w:ascii="Times New Roman"/>
          <w:b w:val="false"/>
          <w:i w:val="false"/>
          <w:color w:val="000000"/>
          <w:sz w:val="28"/>
        </w:rPr>
        <w:t>
      2. Вклады, дебиторская задолженность, приобретенные ценные бумаги, по которым у микрофинансовой организации имеется обеспечение (в виде активов, указанных в строках 1, 2, 3, 4, 5, 6, 7, 8, 9, 10 и 11 Таблицы активов микрофинансовой организации, взвешенных по степени кредитного риска вложений (далее – Таблица), скорректированная стоимость которого составляет не менее 50 (пятидесяти) процентов объема указанных активов, при наличии у микрофинансовой организации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кредитного риска вложений, за минусом скорректированной стоимости обеспечения.</w:t>
      </w:r>
    </w:p>
    <w:bookmarkEnd w:id="129"/>
    <w:bookmarkStart w:name="z277" w:id="130"/>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 2, 3, 4, 5, 6, 7, 8, 9, 10 и 11 Таблицы) равняется:</w:t>
      </w:r>
    </w:p>
    <w:bookmarkEnd w:id="130"/>
    <w:bookmarkStart w:name="z278" w:id="131"/>
    <w:p>
      <w:pPr>
        <w:spacing w:after="0"/>
        <w:ind w:left="0"/>
        <w:jc w:val="both"/>
      </w:pPr>
      <w:r>
        <w:rPr>
          <w:rFonts w:ascii="Times New Roman"/>
          <w:b w:val="false"/>
          <w:i w:val="false"/>
          <w:color w:val="000000"/>
          <w:sz w:val="28"/>
        </w:rPr>
        <w:t>
      100 (ста) процентам суммы вкладов, предоставленных в качестве обеспечения;</w:t>
      </w:r>
    </w:p>
    <w:bookmarkEnd w:id="131"/>
    <w:bookmarkStart w:name="z279" w:id="132"/>
    <w:p>
      <w:pPr>
        <w:spacing w:after="0"/>
        <w:ind w:left="0"/>
        <w:jc w:val="both"/>
      </w:pPr>
      <w:r>
        <w:rPr>
          <w:rFonts w:ascii="Times New Roman"/>
          <w:b w:val="false"/>
          <w:i w:val="false"/>
          <w:color w:val="000000"/>
          <w:sz w:val="28"/>
        </w:rPr>
        <w:t>
      95 (девяносто пяти) процентам рыночной стоимости ценных бумаг, переданных в обеспечение;</w:t>
      </w:r>
    </w:p>
    <w:bookmarkEnd w:id="132"/>
    <w:bookmarkStart w:name="z280" w:id="133"/>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bookmarkEnd w:id="133"/>
    <w:bookmarkStart w:name="z281" w:id="134"/>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End w:id="134"/>
    <w:bookmarkStart w:name="z282" w:id="135"/>
    <w:p>
      <w:pPr>
        <w:spacing w:after="0"/>
        <w:ind w:left="0"/>
        <w:jc w:val="both"/>
      </w:pPr>
      <w:r>
        <w:rPr>
          <w:rFonts w:ascii="Times New Roman"/>
          <w:b w:val="false"/>
          <w:i w:val="false"/>
          <w:color w:val="000000"/>
          <w:sz w:val="28"/>
        </w:rPr>
        <w:t>
      3. Вклады, дебиторская задолженность, приобретенные ценные бумаги, гарантированные (застрахованные) организациями, имеющими степень риска ниже контрагента, включаются в расчет активов, взвешенных по степени кредитного риска вложений (за минусом гарантированной (застрахованной) суммы вкладов, дебиторской задолженности, приобретенных ценных бумаг) по степени риска должника.</w:t>
      </w:r>
    </w:p>
    <w:bookmarkEnd w:id="135"/>
    <w:bookmarkStart w:name="z283" w:id="136"/>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взвешивается по степени риска дебиторской задолженности соответствующего гаранта (страховщика).</w:t>
      </w:r>
    </w:p>
    <w:bookmarkEnd w:id="136"/>
    <w:bookmarkStart w:name="z284" w:id="137"/>
    <w:p>
      <w:pPr>
        <w:spacing w:after="0"/>
        <w:ind w:left="0"/>
        <w:jc w:val="both"/>
      </w:pPr>
      <w:r>
        <w:rPr>
          <w:rFonts w:ascii="Times New Roman"/>
          <w:b w:val="false"/>
          <w:i w:val="false"/>
          <w:color w:val="000000"/>
          <w:sz w:val="28"/>
        </w:rPr>
        <w:t>
      4. Если ценная бумага имеет специальный долговой рейтинг выпуска, то при взвешивании активов микрофинансовой организации по степени кредитного риска вложений необходимо учитывать рейтинг ценной бумаги.</w:t>
      </w:r>
    </w:p>
    <w:bookmarkEnd w:id="137"/>
    <w:bookmarkStart w:name="z285" w:id="138"/>
    <w:p>
      <w:pPr>
        <w:spacing w:after="0"/>
        <w:ind w:left="0"/>
        <w:jc w:val="both"/>
      </w:pPr>
      <w:r>
        <w:rPr>
          <w:rFonts w:ascii="Times New Roman"/>
          <w:b w:val="false"/>
          <w:i w:val="false"/>
          <w:color w:val="000000"/>
          <w:sz w:val="28"/>
        </w:rPr>
        <w:t xml:space="preserve">
      5. Активы, указанные в строке 54 Таблицы, включают потребительские микрокредиты, в том числе микрокредиты, выданные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4 Закона, обеспеченные залогом, полностью покрывающим сумму микрокредита, за исключением потребительских микрокредитов, обеспеченных залогом автотранспортного средства, полностью покрывающим сумму выданного микрокредита.</w:t>
      </w:r>
    </w:p>
    <w:bookmarkEnd w:id="138"/>
    <w:bookmarkStart w:name="z286" w:id="139"/>
    <w:p>
      <w:pPr>
        <w:spacing w:after="0"/>
        <w:ind w:left="0"/>
        <w:jc w:val="both"/>
      </w:pPr>
      <w:r>
        <w:rPr>
          <w:rFonts w:ascii="Times New Roman"/>
          <w:b w:val="false"/>
          <w:i w:val="false"/>
          <w:color w:val="000000"/>
          <w:sz w:val="28"/>
        </w:rPr>
        <w:t xml:space="preserve">
      6. Активы, указанные в строке 55 Таблицы, включают беззалоговые потребительские микрокредиты, за исключением беззалоговых микрокредитов, выданных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4 Закона.</w:t>
      </w:r>
    </w:p>
    <w:bookmarkEnd w:id="1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