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240a" w14:textId="c7b2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ноября 2019 года № 188. Зарегистрировано в Министерстве юстиции Республики Казахстан 21 ноября 2019 года № 19632.</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1" w:id="7"/>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3"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bookmarkStart w:name="z14" w:id="10"/>
    <w:p>
      <w:pPr>
        <w:spacing w:after="0"/>
        <w:ind w:left="0"/>
        <w:jc w:val="both"/>
      </w:pPr>
      <w:r>
        <w:rPr>
          <w:rFonts w:ascii="Times New Roman"/>
          <w:b w:val="false"/>
          <w:i w:val="false"/>
          <w:color w:val="000000"/>
          <w:sz w:val="28"/>
        </w:rPr>
        <w:t>
      7. Банкам второго уровня в срок до 1 октября 2020 года привести свою деятельность в соответствие с требованиями настоящего постановления.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Агентства РК по регулированию и развитию финансового рынка от 18.06.2020 </w:t>
      </w:r>
      <w:r>
        <w:rPr>
          <w:rFonts w:ascii="Times New Roman"/>
          <w:b w:val="false"/>
          <w:i w:val="false"/>
          <w:color w:val="000000"/>
          <w:sz w:val="28"/>
        </w:rPr>
        <w:t>№ 66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188</w:t>
            </w:r>
          </w:p>
        </w:tc>
      </w:tr>
    </w:tbl>
    <w:bookmarkStart w:name="z17" w:id="11"/>
    <w:p>
      <w:pPr>
        <w:spacing w:after="0"/>
        <w:ind w:left="0"/>
        <w:jc w:val="left"/>
      </w:pPr>
      <w:r>
        <w:rPr>
          <w:rFonts w:ascii="Times New Roman"/>
          <w:b/>
          <w:i w:val="false"/>
          <w:color w:val="000000"/>
        </w:rPr>
        <w:t xml:space="preserve"> Правила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1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формирования системы управления рисками и внутреннего контроля для банков второго уровня, филиалов банков-нерезидентов Республики Казахстан (далее - Правила) разработаны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40-5 Закона Республики Казахстан от 31 августа 1995 года "О банках и банковской деятельности в Республике Казахстан" (далее - Закон о банках) и устанавливают порядок формирования системы управления рисками и внутреннего контроля банков второго уровня, филиалов банков-нерезидентов Республики Казахстан (далее - банк).</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Правилах используются следующие понятия:</w:t>
      </w:r>
    </w:p>
    <w:bookmarkEnd w:id="14"/>
    <w:bookmarkStart w:name="z4469" w:id="15"/>
    <w:p>
      <w:pPr>
        <w:spacing w:after="0"/>
        <w:ind w:left="0"/>
        <w:jc w:val="both"/>
      </w:pPr>
      <w:r>
        <w:rPr>
          <w:rFonts w:ascii="Times New Roman"/>
          <w:b w:val="false"/>
          <w:i w:val="false"/>
          <w:color w:val="000000"/>
          <w:sz w:val="28"/>
        </w:rPr>
        <w:t>
      1)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bookmarkEnd w:id="15"/>
    <w:bookmarkStart w:name="z4470" w:id="16"/>
    <w:p>
      <w:pPr>
        <w:spacing w:after="0"/>
        <w:ind w:left="0"/>
        <w:jc w:val="both"/>
      </w:pPr>
      <w:r>
        <w:rPr>
          <w:rFonts w:ascii="Times New Roman"/>
          <w:b w:val="false"/>
          <w:i w:val="false"/>
          <w:color w:val="000000"/>
          <w:sz w:val="28"/>
        </w:rPr>
        <w:t>
      2)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bookmarkEnd w:id="16"/>
    <w:bookmarkStart w:name="z4471" w:id="17"/>
    <w:p>
      <w:pPr>
        <w:spacing w:after="0"/>
        <w:ind w:left="0"/>
        <w:jc w:val="both"/>
      </w:pPr>
      <w:r>
        <w:rPr>
          <w:rFonts w:ascii="Times New Roman"/>
          <w:b w:val="false"/>
          <w:i w:val="false"/>
          <w:color w:val="000000"/>
          <w:sz w:val="28"/>
        </w:rPr>
        <w:t>
      3) центр обмена данными по платежным транзакциям с признаками мошенничества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 (далее – антифрод-центр НБРК);</w:t>
      </w:r>
    </w:p>
    <w:bookmarkEnd w:id="17"/>
    <w:bookmarkStart w:name="z4472" w:id="18"/>
    <w:p>
      <w:pPr>
        <w:spacing w:after="0"/>
        <w:ind w:left="0"/>
        <w:jc w:val="both"/>
      </w:pPr>
      <w:r>
        <w:rPr>
          <w:rFonts w:ascii="Times New Roman"/>
          <w:b w:val="false"/>
          <w:i w:val="false"/>
          <w:color w:val="000000"/>
          <w:sz w:val="28"/>
        </w:rPr>
        <w:t>
      4) база данных инцидентов с признаками мошенничества - база инцидентов с признаками мошенничества, которая ведется банком в электронном виде;</w:t>
      </w:r>
    </w:p>
    <w:bookmarkEnd w:id="18"/>
    <w:bookmarkStart w:name="z4473" w:id="19"/>
    <w:p>
      <w:pPr>
        <w:spacing w:after="0"/>
        <w:ind w:left="0"/>
        <w:jc w:val="both"/>
      </w:pPr>
      <w:r>
        <w:rPr>
          <w:rFonts w:ascii="Times New Roman"/>
          <w:b w:val="false"/>
          <w:i w:val="false"/>
          <w:color w:val="000000"/>
          <w:sz w:val="28"/>
        </w:rPr>
        <w:t>
      5) риск мошенничества – вероятность возникновения финансовых потерь и репутационных рисков вследствие мошеннических действий со стороны третьих лиц и (или) работников банка;</w:t>
      </w:r>
    </w:p>
    <w:bookmarkEnd w:id="19"/>
    <w:bookmarkStart w:name="z4474" w:id="20"/>
    <w:p>
      <w:pPr>
        <w:spacing w:after="0"/>
        <w:ind w:left="0"/>
        <w:jc w:val="both"/>
      </w:pPr>
      <w:r>
        <w:rPr>
          <w:rFonts w:ascii="Times New Roman"/>
          <w:b w:val="false"/>
          <w:i w:val="false"/>
          <w:color w:val="000000"/>
          <w:sz w:val="28"/>
        </w:rPr>
        <w:t>
      6) антифрод-система банка – комплекс технических и аналитических мер, направленных на предотвращение и обнаружение операций с признаками мошенничества при предоставлении банковских услуг;</w:t>
      </w:r>
    </w:p>
    <w:bookmarkEnd w:id="20"/>
    <w:bookmarkStart w:name="z4475" w:id="21"/>
    <w:p>
      <w:pPr>
        <w:spacing w:after="0"/>
        <w:ind w:left="0"/>
        <w:jc w:val="both"/>
      </w:pPr>
      <w:r>
        <w:rPr>
          <w:rFonts w:ascii="Times New Roman"/>
          <w:b w:val="false"/>
          <w:i w:val="false"/>
          <w:color w:val="000000"/>
          <w:sz w:val="28"/>
        </w:rPr>
        <w:t>
      7) уполномоченный коллегиальный орган банка - совет директоров, комитет при совете директоров, правление, комитет при правлении;</w:t>
      </w:r>
    </w:p>
    <w:bookmarkEnd w:id="21"/>
    <w:bookmarkStart w:name="z4476" w:id="22"/>
    <w:p>
      <w:pPr>
        <w:spacing w:after="0"/>
        <w:ind w:left="0"/>
        <w:jc w:val="both"/>
      </w:pPr>
      <w:r>
        <w:rPr>
          <w:rFonts w:ascii="Times New Roman"/>
          <w:b w:val="false"/>
          <w:i w:val="false"/>
          <w:color w:val="000000"/>
          <w:sz w:val="28"/>
        </w:rPr>
        <w:t>
      8)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bookmarkEnd w:id="22"/>
    <w:bookmarkStart w:name="z4477" w:id="23"/>
    <w:p>
      <w:pPr>
        <w:spacing w:after="0"/>
        <w:ind w:left="0"/>
        <w:jc w:val="both"/>
      </w:pPr>
      <w:r>
        <w:rPr>
          <w:rFonts w:ascii="Times New Roman"/>
          <w:b w:val="false"/>
          <w:i w:val="false"/>
          <w:color w:val="000000"/>
          <w:sz w:val="28"/>
        </w:rPr>
        <w:t>
      9) дроппер – лицо, предоставившее третьему лицу доступ к своему банковскому счету и (или) средству электронного платежа, а равно передавшее свои платежные инструменты в пользование третьему лицу, в том числе, за материальное вознаграждение, повлекшее их несанкционированное использование в противоправных операциях;</w:t>
      </w:r>
    </w:p>
    <w:bookmarkEnd w:id="23"/>
    <w:bookmarkStart w:name="z4478" w:id="24"/>
    <w:p>
      <w:pPr>
        <w:spacing w:after="0"/>
        <w:ind w:left="0"/>
        <w:jc w:val="both"/>
      </w:pPr>
      <w:r>
        <w:rPr>
          <w:rFonts w:ascii="Times New Roman"/>
          <w:b w:val="false"/>
          <w:i w:val="false"/>
          <w:color w:val="000000"/>
          <w:sz w:val="28"/>
        </w:rPr>
        <w:t>
      10)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bookmarkEnd w:id="24"/>
    <w:bookmarkStart w:name="z4479" w:id="25"/>
    <w:p>
      <w:pPr>
        <w:spacing w:after="0"/>
        <w:ind w:left="0"/>
        <w:jc w:val="both"/>
      </w:pPr>
      <w:r>
        <w:rPr>
          <w:rFonts w:ascii="Times New Roman"/>
          <w:b w:val="false"/>
          <w:i w:val="false"/>
          <w:color w:val="000000"/>
          <w:sz w:val="28"/>
        </w:rPr>
        <w:t>
      11)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bookmarkEnd w:id="25"/>
    <w:bookmarkStart w:name="z4480" w:id="26"/>
    <w:p>
      <w:pPr>
        <w:spacing w:after="0"/>
        <w:ind w:left="0"/>
        <w:jc w:val="both"/>
      </w:pPr>
      <w:r>
        <w:rPr>
          <w:rFonts w:ascii="Times New Roman"/>
          <w:b w:val="false"/>
          <w:i w:val="false"/>
          <w:color w:val="000000"/>
          <w:sz w:val="28"/>
        </w:rPr>
        <w:t xml:space="preserve">
      Под капиталом филиала банка-нерезидента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 (далее – Постановление № 23);</w:t>
      </w:r>
    </w:p>
    <w:bookmarkEnd w:id="26"/>
    <w:bookmarkStart w:name="z4481" w:id="27"/>
    <w:p>
      <w:pPr>
        <w:spacing w:after="0"/>
        <w:ind w:left="0"/>
        <w:jc w:val="both"/>
      </w:pPr>
      <w:r>
        <w:rPr>
          <w:rFonts w:ascii="Times New Roman"/>
          <w:b w:val="false"/>
          <w:i w:val="false"/>
          <w:color w:val="000000"/>
          <w:sz w:val="28"/>
        </w:rPr>
        <w:t>
      12) план финансирования капитала - совокупность процедур и плана действий для реагирования на критическое снижение капитала банка;</w:t>
      </w:r>
    </w:p>
    <w:bookmarkEnd w:id="27"/>
    <w:bookmarkStart w:name="z4482" w:id="28"/>
    <w:p>
      <w:pPr>
        <w:spacing w:after="0"/>
        <w:ind w:left="0"/>
        <w:jc w:val="both"/>
      </w:pPr>
      <w:r>
        <w:rPr>
          <w:rFonts w:ascii="Times New Roman"/>
          <w:b w:val="false"/>
          <w:i w:val="false"/>
          <w:color w:val="000000"/>
          <w:sz w:val="28"/>
        </w:rPr>
        <w:t>
      13) статистический журнал стоимости залогового обеспечения - внутренний журнал стоимостей залогового обеспечения, включающий описание и характеристику залогового обеспечения, информацию по итогам первой и наиболее актуальной оценок независимой оценки качества (дата оценки, наименование независимой оценки качества, стоимость, метод оценки), заключения залоговой службы (дата, стоимость), причины различия стоимостей, информацию по реализации (при наличии);</w:t>
      </w:r>
    </w:p>
    <w:bookmarkEnd w:id="28"/>
    <w:bookmarkStart w:name="z4483" w:id="29"/>
    <w:p>
      <w:pPr>
        <w:spacing w:after="0"/>
        <w:ind w:left="0"/>
        <w:jc w:val="both"/>
      </w:pPr>
      <w:r>
        <w:rPr>
          <w:rFonts w:ascii="Times New Roman"/>
          <w:b w:val="false"/>
          <w:i w:val="false"/>
          <w:color w:val="000000"/>
          <w:sz w:val="28"/>
        </w:rPr>
        <w:t>
      14) беззалоговый потребительский заем - банковский заем без условия о залоге на момент выдачи, предоставленный физическому лицу на цели, не связанные с осуществлением предпринимательской деятельности;</w:t>
      </w:r>
    </w:p>
    <w:bookmarkEnd w:id="29"/>
    <w:bookmarkStart w:name="z4484" w:id="30"/>
    <w:p>
      <w:pPr>
        <w:spacing w:after="0"/>
        <w:ind w:left="0"/>
        <w:jc w:val="both"/>
      </w:pPr>
      <w:r>
        <w:rPr>
          <w:rFonts w:ascii="Times New Roman"/>
          <w:b w:val="false"/>
          <w:i w:val="false"/>
          <w:color w:val="000000"/>
          <w:sz w:val="28"/>
        </w:rPr>
        <w:t>
      15)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bookmarkEnd w:id="30"/>
    <w:bookmarkStart w:name="z4485" w:id="31"/>
    <w:p>
      <w:pPr>
        <w:spacing w:after="0"/>
        <w:ind w:left="0"/>
        <w:jc w:val="both"/>
      </w:pPr>
      <w:r>
        <w:rPr>
          <w:rFonts w:ascii="Times New Roman"/>
          <w:b w:val="false"/>
          <w:i w:val="false"/>
          <w:color w:val="000000"/>
          <w:sz w:val="28"/>
        </w:rPr>
        <w:t>
      16)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bookmarkEnd w:id="31"/>
    <w:bookmarkStart w:name="z4486" w:id="32"/>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bookmarkEnd w:id="32"/>
    <w:bookmarkStart w:name="z4487" w:id="33"/>
    <w:p>
      <w:pPr>
        <w:spacing w:after="0"/>
        <w:ind w:left="0"/>
        <w:jc w:val="both"/>
      </w:pPr>
      <w:r>
        <w:rPr>
          <w:rFonts w:ascii="Times New Roman"/>
          <w:b w:val="false"/>
          <w:i w:val="false"/>
          <w:color w:val="000000"/>
          <w:sz w:val="28"/>
        </w:rPr>
        <w:t>
      17)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bookmarkEnd w:id="33"/>
    <w:bookmarkStart w:name="z4488" w:id="34"/>
    <w:p>
      <w:pPr>
        <w:spacing w:after="0"/>
        <w:ind w:left="0"/>
        <w:jc w:val="both"/>
      </w:pPr>
      <w:r>
        <w:rPr>
          <w:rFonts w:ascii="Times New Roman"/>
          <w:b w:val="false"/>
          <w:i w:val="false"/>
          <w:color w:val="000000"/>
          <w:sz w:val="28"/>
        </w:rPr>
        <w:t>
      18)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bookmarkEnd w:id="34"/>
    <w:bookmarkStart w:name="z4489" w:id="35"/>
    <w:p>
      <w:pPr>
        <w:spacing w:after="0"/>
        <w:ind w:left="0"/>
        <w:jc w:val="both"/>
      </w:pPr>
      <w:r>
        <w:rPr>
          <w:rFonts w:ascii="Times New Roman"/>
          <w:b w:val="false"/>
          <w:i w:val="false"/>
          <w:color w:val="000000"/>
          <w:sz w:val="28"/>
        </w:rPr>
        <w:t>
      19)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bookmarkEnd w:id="35"/>
    <w:bookmarkStart w:name="z4490" w:id="36"/>
    <w:p>
      <w:pPr>
        <w:spacing w:after="0"/>
        <w:ind w:left="0"/>
        <w:jc w:val="both"/>
      </w:pPr>
      <w:r>
        <w:rPr>
          <w:rFonts w:ascii="Times New Roman"/>
          <w:b w:val="false"/>
          <w:i w:val="false"/>
          <w:color w:val="000000"/>
          <w:sz w:val="28"/>
        </w:rPr>
        <w:t>
      20)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bookmarkEnd w:id="36"/>
    <w:bookmarkStart w:name="z4491" w:id="37"/>
    <w:p>
      <w:pPr>
        <w:spacing w:after="0"/>
        <w:ind w:left="0"/>
        <w:jc w:val="both"/>
      </w:pPr>
      <w:r>
        <w:rPr>
          <w:rFonts w:ascii="Times New Roman"/>
          <w:b w:val="false"/>
          <w:i w:val="false"/>
          <w:color w:val="000000"/>
          <w:sz w:val="28"/>
        </w:rPr>
        <w:t>
      21) надзорное стресс-тестирование — это инструмент уполномоченного органа, направленный на оценку финансовой устойчивости банков к гипотетическим (стрессовым) сценариям развития событий. Банки на основании единой для всех участников надзорного стресс-тестирования методологии и сценариев проводят расчеты с использованием внутренних моделей и предоставляют в уполномоченный орган результаты стресс-тестирования. При этом банки отвечают за надлежащее качество проведенных расчетов и результаты стресс-тестирования;</w:t>
      </w:r>
    </w:p>
    <w:bookmarkEnd w:id="37"/>
    <w:bookmarkStart w:name="z4492" w:id="38"/>
    <w:p>
      <w:pPr>
        <w:spacing w:after="0"/>
        <w:ind w:left="0"/>
        <w:jc w:val="both"/>
      </w:pPr>
      <w:r>
        <w:rPr>
          <w:rFonts w:ascii="Times New Roman"/>
          <w:b w:val="false"/>
          <w:i w:val="false"/>
          <w:color w:val="000000"/>
          <w:sz w:val="28"/>
        </w:rPr>
        <w:t>
      22) уполномоченный орган по финансовому мониторингу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bookmarkEnd w:id="38"/>
    <w:bookmarkStart w:name="z4493" w:id="39"/>
    <w:p>
      <w:pPr>
        <w:spacing w:after="0"/>
        <w:ind w:left="0"/>
        <w:jc w:val="both"/>
      </w:pPr>
      <w:r>
        <w:rPr>
          <w:rFonts w:ascii="Times New Roman"/>
          <w:b w:val="false"/>
          <w:i w:val="false"/>
          <w:color w:val="000000"/>
          <w:sz w:val="28"/>
        </w:rPr>
        <w:t>
      23)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bookmarkEnd w:id="39"/>
    <w:bookmarkStart w:name="z4494" w:id="40"/>
    <w:p>
      <w:pPr>
        <w:spacing w:after="0"/>
        <w:ind w:left="0"/>
        <w:jc w:val="both"/>
      </w:pPr>
      <w:r>
        <w:rPr>
          <w:rFonts w:ascii="Times New Roman"/>
          <w:b w:val="false"/>
          <w:i w:val="false"/>
          <w:color w:val="000000"/>
          <w:sz w:val="28"/>
        </w:rPr>
        <w:t xml:space="preserve">
      24)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 (далее – Постановление № 48);</w:t>
      </w:r>
    </w:p>
    <w:bookmarkEnd w:id="40"/>
    <w:bookmarkStart w:name="z4495" w:id="41"/>
    <w:p>
      <w:pPr>
        <w:spacing w:after="0"/>
        <w:ind w:left="0"/>
        <w:jc w:val="both"/>
      </w:pPr>
      <w:r>
        <w:rPr>
          <w:rFonts w:ascii="Times New Roman"/>
          <w:b w:val="false"/>
          <w:i w:val="false"/>
          <w:color w:val="000000"/>
          <w:sz w:val="28"/>
        </w:rPr>
        <w:t>
      25) существенный риск - риск, реализация которого приведет к ухудшению финансовой устойчивости банка;</w:t>
      </w:r>
    </w:p>
    <w:bookmarkEnd w:id="41"/>
    <w:bookmarkStart w:name="z4496" w:id="42"/>
    <w:p>
      <w:pPr>
        <w:spacing w:after="0"/>
        <w:ind w:left="0"/>
        <w:jc w:val="both"/>
      </w:pPr>
      <w:r>
        <w:rPr>
          <w:rFonts w:ascii="Times New Roman"/>
          <w:b w:val="false"/>
          <w:i w:val="false"/>
          <w:color w:val="000000"/>
          <w:sz w:val="28"/>
        </w:rPr>
        <w:t>
      26) конфликт интересов - ситуация, при которой возникает противоречие между личной заинтересованностью должностных лиц банка (должностных лиц органа управления,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его акционеров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bookmarkEnd w:id="42"/>
    <w:bookmarkStart w:name="z4497" w:id="43"/>
    <w:p>
      <w:pPr>
        <w:spacing w:after="0"/>
        <w:ind w:left="0"/>
        <w:jc w:val="both"/>
      </w:pPr>
      <w:r>
        <w:rPr>
          <w:rFonts w:ascii="Times New Roman"/>
          <w:b w:val="false"/>
          <w:i w:val="false"/>
          <w:color w:val="000000"/>
          <w:sz w:val="28"/>
        </w:rPr>
        <w:t>
      27)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bookmarkEnd w:id="43"/>
    <w:bookmarkStart w:name="z4498" w:id="44"/>
    <w:p>
      <w:pPr>
        <w:spacing w:after="0"/>
        <w:ind w:left="0"/>
        <w:jc w:val="both"/>
      </w:pPr>
      <w:r>
        <w:rPr>
          <w:rFonts w:ascii="Times New Roman"/>
          <w:b w:val="false"/>
          <w:i w:val="false"/>
          <w:color w:val="000000"/>
          <w:sz w:val="28"/>
        </w:rPr>
        <w:t>
      28)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29)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00" w:id="45"/>
    <w:p>
      <w:pPr>
        <w:spacing w:after="0"/>
        <w:ind w:left="0"/>
        <w:jc w:val="both"/>
      </w:pPr>
      <w:r>
        <w:rPr>
          <w:rFonts w:ascii="Times New Roman"/>
          <w:b w:val="false"/>
          <w:i w:val="false"/>
          <w:color w:val="000000"/>
          <w:sz w:val="28"/>
        </w:rPr>
        <w:t xml:space="preserve">
      30)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30)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01" w:id="46"/>
    <w:p>
      <w:pPr>
        <w:spacing w:after="0"/>
        <w:ind w:left="0"/>
        <w:jc w:val="both"/>
      </w:pPr>
      <w:r>
        <w:rPr>
          <w:rFonts w:ascii="Times New Roman"/>
          <w:b w:val="false"/>
          <w:i w:val="false"/>
          <w:color w:val="000000"/>
          <w:sz w:val="28"/>
        </w:rPr>
        <w:t>
      31)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bookmarkEnd w:id="46"/>
    <w:bookmarkStart w:name="z4502" w:id="47"/>
    <w:p>
      <w:pPr>
        <w:spacing w:after="0"/>
        <w:ind w:left="0"/>
        <w:jc w:val="both"/>
      </w:pPr>
      <w:r>
        <w:rPr>
          <w:rFonts w:ascii="Times New Roman"/>
          <w:b w:val="false"/>
          <w:i w:val="false"/>
          <w:color w:val="000000"/>
          <w:sz w:val="28"/>
        </w:rPr>
        <w:t>
      32)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bookmarkEnd w:id="47"/>
    <w:bookmarkStart w:name="z4503" w:id="48"/>
    <w:p>
      <w:pPr>
        <w:spacing w:after="0"/>
        <w:ind w:left="0"/>
        <w:jc w:val="both"/>
      </w:pPr>
      <w:r>
        <w:rPr>
          <w:rFonts w:ascii="Times New Roman"/>
          <w:b w:val="false"/>
          <w:i w:val="false"/>
          <w:color w:val="000000"/>
          <w:sz w:val="28"/>
        </w:rPr>
        <w:t>
      33) процентный риск - риск возникновения финансовых расходов (убытков) вследствие неблагоприятного изменения процентных ставок по активам, пассивам банка;</w:t>
      </w:r>
    </w:p>
    <w:bookmarkEnd w:id="48"/>
    <w:bookmarkStart w:name="z4504" w:id="49"/>
    <w:p>
      <w:pPr>
        <w:spacing w:after="0"/>
        <w:ind w:left="0"/>
        <w:jc w:val="both"/>
      </w:pPr>
      <w:r>
        <w:rPr>
          <w:rFonts w:ascii="Times New Roman"/>
          <w:b w:val="false"/>
          <w:i w:val="false"/>
          <w:color w:val="000000"/>
          <w:sz w:val="28"/>
        </w:rPr>
        <w:t>
      34)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bookmarkEnd w:id="49"/>
    <w:bookmarkStart w:name="z4505" w:id="50"/>
    <w:p>
      <w:pPr>
        <w:spacing w:after="0"/>
        <w:ind w:left="0"/>
        <w:jc w:val="both"/>
      </w:pPr>
      <w:r>
        <w:rPr>
          <w:rFonts w:ascii="Times New Roman"/>
          <w:b w:val="false"/>
          <w:i w:val="false"/>
          <w:color w:val="000000"/>
          <w:sz w:val="28"/>
        </w:rPr>
        <w:t>
      35)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bookmarkEnd w:id="50"/>
    <w:bookmarkStart w:name="z4506" w:id="51"/>
    <w:p>
      <w:pPr>
        <w:spacing w:after="0"/>
        <w:ind w:left="0"/>
        <w:jc w:val="both"/>
      </w:pPr>
      <w:r>
        <w:rPr>
          <w:rFonts w:ascii="Times New Roman"/>
          <w:b w:val="false"/>
          <w:i w:val="false"/>
          <w:color w:val="000000"/>
          <w:sz w:val="28"/>
        </w:rPr>
        <w:t>
      36) стресс-тестирование - метод оценки потенциального влияния исключительных, но возможных событий на финансовое состояние банка;</w:t>
      </w:r>
    </w:p>
    <w:bookmarkEnd w:id="51"/>
    <w:bookmarkStart w:name="z4507" w:id="52"/>
    <w:p>
      <w:pPr>
        <w:spacing w:after="0"/>
        <w:ind w:left="0"/>
        <w:jc w:val="both"/>
      </w:pPr>
      <w:r>
        <w:rPr>
          <w:rFonts w:ascii="Times New Roman"/>
          <w:b w:val="false"/>
          <w:i w:val="false"/>
          <w:color w:val="000000"/>
          <w:sz w:val="28"/>
        </w:rPr>
        <w:t>
      37)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bookmarkEnd w:id="52"/>
    <w:bookmarkStart w:name="z4508" w:id="53"/>
    <w:p>
      <w:pPr>
        <w:spacing w:after="0"/>
        <w:ind w:left="0"/>
        <w:jc w:val="both"/>
      </w:pPr>
      <w:r>
        <w:rPr>
          <w:rFonts w:ascii="Times New Roman"/>
          <w:b w:val="false"/>
          <w:i w:val="false"/>
          <w:color w:val="000000"/>
          <w:sz w:val="28"/>
        </w:rPr>
        <w:t>
      38)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bookmarkEnd w:id="53"/>
    <w:bookmarkStart w:name="z4509" w:id="54"/>
    <w:p>
      <w:pPr>
        <w:spacing w:after="0"/>
        <w:ind w:left="0"/>
        <w:jc w:val="both"/>
      </w:pPr>
      <w:r>
        <w:rPr>
          <w:rFonts w:ascii="Times New Roman"/>
          <w:b w:val="false"/>
          <w:i w:val="false"/>
          <w:color w:val="000000"/>
          <w:sz w:val="28"/>
        </w:rPr>
        <w:t>
      39) риск-аппетит -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w:t>
      </w:r>
    </w:p>
    <w:bookmarkEnd w:id="54"/>
    <w:bookmarkStart w:name="z4510" w:id="55"/>
    <w:p>
      <w:pPr>
        <w:spacing w:after="0"/>
        <w:ind w:left="0"/>
        <w:jc w:val="both"/>
      </w:pPr>
      <w:r>
        <w:rPr>
          <w:rFonts w:ascii="Times New Roman"/>
          <w:b w:val="false"/>
          <w:i w:val="false"/>
          <w:color w:val="000000"/>
          <w:sz w:val="28"/>
        </w:rPr>
        <w:t>
      40)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bookmarkEnd w:id="55"/>
    <w:bookmarkStart w:name="z4511" w:id="56"/>
    <w:p>
      <w:pPr>
        <w:spacing w:after="0"/>
        <w:ind w:left="0"/>
        <w:jc w:val="both"/>
      </w:pPr>
      <w:r>
        <w:rPr>
          <w:rFonts w:ascii="Times New Roman"/>
          <w:b w:val="false"/>
          <w:i w:val="false"/>
          <w:color w:val="000000"/>
          <w:sz w:val="28"/>
        </w:rPr>
        <w:t>
      41)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bookmarkEnd w:id="56"/>
    <w:bookmarkStart w:name="z4512" w:id="57"/>
    <w:p>
      <w:pPr>
        <w:spacing w:after="0"/>
        <w:ind w:left="0"/>
        <w:jc w:val="both"/>
      </w:pPr>
      <w:r>
        <w:rPr>
          <w:rFonts w:ascii="Times New Roman"/>
          <w:b w:val="false"/>
          <w:i w:val="false"/>
          <w:color w:val="000000"/>
          <w:sz w:val="28"/>
        </w:rPr>
        <w:t>
      42) обработка риска - процесс выбора и реализации мер по изменению рисков;</w:t>
      </w:r>
    </w:p>
    <w:bookmarkEnd w:id="57"/>
    <w:bookmarkStart w:name="z4513" w:id="58"/>
    <w:p>
      <w:pPr>
        <w:spacing w:after="0"/>
        <w:ind w:left="0"/>
        <w:jc w:val="both"/>
      </w:pPr>
      <w:r>
        <w:rPr>
          <w:rFonts w:ascii="Times New Roman"/>
          <w:b w:val="false"/>
          <w:i w:val="false"/>
          <w:color w:val="000000"/>
          <w:sz w:val="28"/>
        </w:rPr>
        <w:t>
      43)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bookmarkEnd w:id="58"/>
    <w:bookmarkStart w:name="z4514" w:id="59"/>
    <w:p>
      <w:pPr>
        <w:spacing w:after="0"/>
        <w:ind w:left="0"/>
        <w:jc w:val="both"/>
      </w:pPr>
      <w:r>
        <w:rPr>
          <w:rFonts w:ascii="Times New Roman"/>
          <w:b w:val="false"/>
          <w:i w:val="false"/>
          <w:color w:val="000000"/>
          <w:sz w:val="28"/>
        </w:rPr>
        <w:t>
      44)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59"/>
    <w:bookmarkStart w:name="z4515" w:id="60"/>
    <w:p>
      <w:pPr>
        <w:spacing w:after="0"/>
        <w:ind w:left="0"/>
        <w:jc w:val="both"/>
      </w:pPr>
      <w:r>
        <w:rPr>
          <w:rFonts w:ascii="Times New Roman"/>
          <w:b w:val="false"/>
          <w:i w:val="false"/>
          <w:color w:val="000000"/>
          <w:sz w:val="28"/>
        </w:rPr>
        <w:t>
      45)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bookmarkEnd w:id="60"/>
    <w:bookmarkStart w:name="z4516" w:id="61"/>
    <w:p>
      <w:pPr>
        <w:spacing w:after="0"/>
        <w:ind w:left="0"/>
        <w:jc w:val="both"/>
      </w:pPr>
      <w:r>
        <w:rPr>
          <w:rFonts w:ascii="Times New Roman"/>
          <w:b w:val="false"/>
          <w:i w:val="false"/>
          <w:color w:val="000000"/>
          <w:sz w:val="28"/>
        </w:rPr>
        <w:t>
      46) участник Международного финансового центра "Астана", оказывающий услуги по управлению платформой цифровых активов- юридическое лицо, зарегистрированное в соответствии с действующим правом Международного финансового центра "Астана" и осуществляющее на территории Международного финансового центра "Астана" деятельность по управлению платформой цифровых активов;</w:t>
      </w:r>
    </w:p>
    <w:bookmarkEnd w:id="61"/>
    <w:bookmarkStart w:name="z4517" w:id="62"/>
    <w:p>
      <w:pPr>
        <w:spacing w:after="0"/>
        <w:ind w:left="0"/>
        <w:jc w:val="both"/>
      </w:pPr>
      <w:r>
        <w:rPr>
          <w:rFonts w:ascii="Times New Roman"/>
          <w:b w:val="false"/>
          <w:i w:val="false"/>
          <w:color w:val="000000"/>
          <w:sz w:val="28"/>
        </w:rPr>
        <w:t>
      47) внутренний (экономический) капитал - капитал, необходимый для покрытия существенных рисков, в том числе потенциальных, принятых банком, рассчитанный внутри банка с использованием собственных моделей;</w:t>
      </w:r>
    </w:p>
    <w:bookmarkEnd w:id="62"/>
    <w:bookmarkStart w:name="z4518" w:id="63"/>
    <w:p>
      <w:pPr>
        <w:spacing w:after="0"/>
        <w:ind w:left="0"/>
        <w:jc w:val="both"/>
      </w:pPr>
      <w:r>
        <w:rPr>
          <w:rFonts w:ascii="Times New Roman"/>
          <w:b w:val="false"/>
          <w:i w:val="false"/>
          <w:color w:val="000000"/>
          <w:sz w:val="28"/>
        </w:rPr>
        <w:t xml:space="preserve">
      48)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48)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19" w:id="64"/>
    <w:p>
      <w:pPr>
        <w:spacing w:after="0"/>
        <w:ind w:left="0"/>
        <w:jc w:val="both"/>
      </w:pPr>
      <w:r>
        <w:rPr>
          <w:rFonts w:ascii="Times New Roman"/>
          <w:b w:val="false"/>
          <w:i w:val="false"/>
          <w:color w:val="000000"/>
          <w:sz w:val="28"/>
        </w:rPr>
        <w:t xml:space="preserve">
      49)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49)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20" w:id="65"/>
    <w:p>
      <w:pPr>
        <w:spacing w:after="0"/>
        <w:ind w:left="0"/>
        <w:jc w:val="both"/>
      </w:pPr>
      <w:r>
        <w:rPr>
          <w:rFonts w:ascii="Times New Roman"/>
          <w:b w:val="false"/>
          <w:i w:val="false"/>
          <w:color w:val="000000"/>
          <w:sz w:val="28"/>
        </w:rPr>
        <w:t>
      При применении требований Правил к филиалу банка-нерезидента Республики Казахстан:</w:t>
      </w:r>
    </w:p>
    <w:bookmarkEnd w:id="65"/>
    <w:bookmarkStart w:name="z4521" w:id="66"/>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банка-нерезидента Республики Казахстан;</w:t>
      </w:r>
    </w:p>
    <w:bookmarkEnd w:id="66"/>
    <w:bookmarkStart w:name="z4522" w:id="67"/>
    <w:p>
      <w:pPr>
        <w:spacing w:after="0"/>
        <w:ind w:left="0"/>
        <w:jc w:val="both"/>
      </w:pPr>
      <w:r>
        <w:rPr>
          <w:rFonts w:ascii="Times New Roman"/>
          <w:b w:val="false"/>
          <w:i w:val="false"/>
          <w:color w:val="000000"/>
          <w:sz w:val="28"/>
        </w:rPr>
        <w:t>
      под правлением понимаются руководящие работники филиала банка-нерезидента Республики Казахстан;</w:t>
      </w:r>
    </w:p>
    <w:bookmarkEnd w:id="67"/>
    <w:bookmarkStart w:name="z4523" w:id="68"/>
    <w:p>
      <w:pPr>
        <w:spacing w:after="0"/>
        <w:ind w:left="0"/>
        <w:jc w:val="both"/>
      </w:pPr>
      <w:r>
        <w:rPr>
          <w:rFonts w:ascii="Times New Roman"/>
          <w:b w:val="false"/>
          <w:i w:val="false"/>
          <w:color w:val="000000"/>
          <w:sz w:val="28"/>
        </w:rPr>
        <w:t xml:space="preserve">
      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 № 23</w:t>
      </w:r>
      <w:r>
        <w:rPr>
          <w:rFonts w:ascii="Times New Roman"/>
          <w:b w:val="false"/>
          <w:i w:val="false"/>
          <w:color w:val="000000"/>
          <w:sz w:val="28"/>
        </w:rPr>
        <w:t>;</w:t>
      </w:r>
    </w:p>
    <w:bookmarkEnd w:id="68"/>
    <w:bookmarkStart w:name="z4524" w:id="69"/>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филиала банка-нерезидента Республики Казахстан;</w:t>
      </w:r>
    </w:p>
    <w:bookmarkEnd w:id="69"/>
    <w:bookmarkStart w:name="z4525" w:id="70"/>
    <w:p>
      <w:pPr>
        <w:spacing w:after="0"/>
        <w:ind w:left="0"/>
        <w:jc w:val="both"/>
      </w:pPr>
      <w:r>
        <w:rPr>
          <w:rFonts w:ascii="Times New Roman"/>
          <w:b w:val="false"/>
          <w:i w:val="false"/>
          <w:color w:val="000000"/>
          <w:sz w:val="28"/>
        </w:rPr>
        <w:t>
      под главой риск-менеджмента понимается руководитель подразделения по управлению рисками филиала банка-нерезидента Республики Казахстан;</w:t>
      </w:r>
    </w:p>
    <w:bookmarkEnd w:id="70"/>
    <w:bookmarkStart w:name="z4526" w:id="71"/>
    <w:p>
      <w:pPr>
        <w:spacing w:after="0"/>
        <w:ind w:left="0"/>
        <w:jc w:val="both"/>
      </w:pPr>
      <w:r>
        <w:rPr>
          <w:rFonts w:ascii="Times New Roman"/>
          <w:b w:val="false"/>
          <w:i w:val="false"/>
          <w:color w:val="000000"/>
          <w:sz w:val="28"/>
        </w:rPr>
        <w:t>
      под главным комплаенс-контроллером понимается руководитель подразделения по комплаенс-контролю филиала банка-нерезидента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Абзацы девятый, десятый, одиннадцатый и двенадцатый подпункта 49) </w:t>
      </w:r>
      <w:r>
        <w:rPr>
          <w:rFonts w:ascii="Times New Roman"/>
          <w:b w:val="false"/>
          <w:i w:val="false"/>
          <w:color w:val="ff0000"/>
          <w:sz w:val="28"/>
        </w:rPr>
        <w:t>вводятся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72"/>
    <w:p>
      <w:pPr>
        <w:spacing w:after="0"/>
        <w:ind w:left="0"/>
        <w:jc w:val="both"/>
      </w:pPr>
      <w:r>
        <w:rPr>
          <w:rFonts w:ascii="Times New Roman"/>
          <w:b w:val="false"/>
          <w:i w:val="false"/>
          <w:color w:val="000000"/>
          <w:sz w:val="28"/>
        </w:rPr>
        <w:t>
      3. Целью Правил является определение требований к формированию банком систем управления рисками и внутреннего контроля путем обеспечения:</w:t>
      </w:r>
    </w:p>
    <w:bookmarkEnd w:id="72"/>
    <w:bookmarkStart w:name="z55" w:id="73"/>
    <w:p>
      <w:pPr>
        <w:spacing w:after="0"/>
        <w:ind w:left="0"/>
        <w:jc w:val="both"/>
      </w:pPr>
      <w:r>
        <w:rPr>
          <w:rFonts w:ascii="Times New Roman"/>
          <w:b w:val="false"/>
          <w:i w:val="false"/>
          <w:color w:val="000000"/>
          <w:sz w:val="28"/>
        </w:rPr>
        <w:t>
      1) эффективного управления рисками банка посредством своевременного их выявления, измерения, контроля и мониторинга для обеспечения соответствия собственного капитала банка уровню принимаемых им рисков и наличия соответствующего уровня ликвидности;</w:t>
      </w:r>
    </w:p>
    <w:bookmarkEnd w:id="73"/>
    <w:bookmarkStart w:name="z56" w:id="74"/>
    <w:p>
      <w:pPr>
        <w:spacing w:after="0"/>
        <w:ind w:left="0"/>
        <w:jc w:val="both"/>
      </w:pPr>
      <w:r>
        <w:rPr>
          <w:rFonts w:ascii="Times New Roman"/>
          <w:b w:val="false"/>
          <w:i w:val="false"/>
          <w:color w:val="000000"/>
          <w:sz w:val="28"/>
        </w:rPr>
        <w:t>
      2) надлежащей практики корпоративного управления и надлежащего уровня деловой этики и риск-культуры;</w:t>
      </w:r>
    </w:p>
    <w:bookmarkEnd w:id="74"/>
    <w:bookmarkStart w:name="z57" w:id="75"/>
    <w:p>
      <w:pPr>
        <w:spacing w:after="0"/>
        <w:ind w:left="0"/>
        <w:jc w:val="both"/>
      </w:pPr>
      <w:r>
        <w:rPr>
          <w:rFonts w:ascii="Times New Roman"/>
          <w:b w:val="false"/>
          <w:i w:val="false"/>
          <w:color w:val="000000"/>
          <w:sz w:val="28"/>
        </w:rPr>
        <w:t>
      3) 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политик, процедур и иных внутренних документов банка;</w:t>
      </w:r>
    </w:p>
    <w:bookmarkEnd w:id="75"/>
    <w:bookmarkStart w:name="z58" w:id="76"/>
    <w:p>
      <w:pPr>
        <w:spacing w:after="0"/>
        <w:ind w:left="0"/>
        <w:jc w:val="both"/>
      </w:pPr>
      <w:r>
        <w:rPr>
          <w:rFonts w:ascii="Times New Roman"/>
          <w:b w:val="false"/>
          <w:i w:val="false"/>
          <w:color w:val="000000"/>
          <w:sz w:val="28"/>
        </w:rPr>
        <w:t>
      4) своевременного обнаружения и устранения недостатков в деятельности банка и его работников;</w:t>
      </w:r>
    </w:p>
    <w:bookmarkEnd w:id="76"/>
    <w:bookmarkStart w:name="z59" w:id="77"/>
    <w:p>
      <w:pPr>
        <w:spacing w:after="0"/>
        <w:ind w:left="0"/>
        <w:jc w:val="both"/>
      </w:pPr>
      <w:r>
        <w:rPr>
          <w:rFonts w:ascii="Times New Roman"/>
          <w:b w:val="false"/>
          <w:i w:val="false"/>
          <w:color w:val="000000"/>
          <w:sz w:val="28"/>
        </w:rPr>
        <w:t>
      5) создания в банке адекватных механизмов для решения непредвиденных или чрезвычайных ситуаций.</w:t>
      </w:r>
    </w:p>
    <w:bookmarkEnd w:id="77"/>
    <w:bookmarkStart w:name="z60" w:id="78"/>
    <w:p>
      <w:pPr>
        <w:spacing w:after="0"/>
        <w:ind w:left="0"/>
        <w:jc w:val="both"/>
      </w:pPr>
      <w:r>
        <w:rPr>
          <w:rFonts w:ascii="Times New Roman"/>
          <w:b w:val="false"/>
          <w:i w:val="false"/>
          <w:color w:val="000000"/>
          <w:sz w:val="28"/>
        </w:rPr>
        <w:t>
      4. Совет директоров банка обеспечивает наличие системы управления рисками, соответствующей выбранной бизнес модели, масштабу деятельности, видам и сложности операций и обеспечивает надлежащий процесс выявления, измерения и оценки, мониторинга, контроля и процедур минимизации существенных рисков банка с целью определения банком величины собственного капитала и ликвидности, необходимых для покрытия существенных рисков, присущих деятельности банка.</w:t>
      </w:r>
    </w:p>
    <w:bookmarkEnd w:id="78"/>
    <w:bookmarkStart w:name="z61" w:id="79"/>
    <w:p>
      <w:pPr>
        <w:spacing w:after="0"/>
        <w:ind w:left="0"/>
        <w:jc w:val="both"/>
      </w:pPr>
      <w:r>
        <w:rPr>
          <w:rFonts w:ascii="Times New Roman"/>
          <w:b w:val="false"/>
          <w:i w:val="false"/>
          <w:color w:val="000000"/>
          <w:sz w:val="28"/>
        </w:rPr>
        <w:t>
      Система управления рисками представляет собой совокупность компонентов, установленных Правилами, которая обеспечивает механизм взаимодействия разработанных и регламентированных банком внутренних процедур, процессов, политик, структурных подразделений банка с целью своевременного выявления, измерения, контроля и мониторинга рисков банка, а также их минимизации для обеспечения его финансовой устойчивости и стабильного функционирования.</w:t>
      </w:r>
    </w:p>
    <w:bookmarkEnd w:id="79"/>
    <w:bookmarkStart w:name="z62" w:id="80"/>
    <w:p>
      <w:pPr>
        <w:spacing w:after="0"/>
        <w:ind w:left="0"/>
        <w:jc w:val="both"/>
      </w:pPr>
      <w:r>
        <w:rPr>
          <w:rFonts w:ascii="Times New Roman"/>
          <w:b w:val="false"/>
          <w:i w:val="false"/>
          <w:color w:val="000000"/>
          <w:sz w:val="28"/>
        </w:rPr>
        <w:t>
      5. Система управления рисками обеспечивает:</w:t>
      </w:r>
    </w:p>
    <w:bookmarkEnd w:id="80"/>
    <w:bookmarkStart w:name="z3990" w:id="81"/>
    <w:p>
      <w:pPr>
        <w:spacing w:after="0"/>
        <w:ind w:left="0"/>
        <w:jc w:val="both"/>
      </w:pPr>
      <w:r>
        <w:rPr>
          <w:rFonts w:ascii="Times New Roman"/>
          <w:b w:val="false"/>
          <w:i w:val="false"/>
          <w:color w:val="000000"/>
          <w:sz w:val="28"/>
        </w:rPr>
        <w:t>
      1) оптимальное соотношение между доходностью основных направлений деятельности банка и уровнем принимаемых рисков, основанное на выборе жизнеспособной и устойчивой бизнес модели, эффективном процессе планирования стратегии и бюджета с учетом стратегии риск-аппетита;</w:t>
      </w:r>
    </w:p>
    <w:bookmarkEnd w:id="81"/>
    <w:bookmarkStart w:name="z3991" w:id="82"/>
    <w:p>
      <w:pPr>
        <w:spacing w:after="0"/>
        <w:ind w:left="0"/>
        <w:jc w:val="both"/>
      </w:pPr>
      <w:r>
        <w:rPr>
          <w:rFonts w:ascii="Times New Roman"/>
          <w:b w:val="false"/>
          <w:i w:val="false"/>
          <w:color w:val="000000"/>
          <w:sz w:val="28"/>
        </w:rPr>
        <w:t>
      2) объективную оценку размера рисков банка, полноту и документирование процессов управления рисками, их превентивного выявления, измерения и оценки, мониторинга и контроля, минимизацию существенных видов рисков на каждом уровне организационной структуры с оптимальным использованием финансовых ресурсов, персонала и информационных систем в целях поддержания достаточного объема собственного капитала банка и ликвидности;</w:t>
      </w:r>
    </w:p>
    <w:bookmarkEnd w:id="82"/>
    <w:bookmarkStart w:name="z3992" w:id="83"/>
    <w:p>
      <w:pPr>
        <w:spacing w:after="0"/>
        <w:ind w:left="0"/>
        <w:jc w:val="both"/>
      </w:pPr>
      <w:r>
        <w:rPr>
          <w:rFonts w:ascii="Times New Roman"/>
          <w:b w:val="false"/>
          <w:i w:val="false"/>
          <w:color w:val="000000"/>
          <w:sz w:val="28"/>
        </w:rPr>
        <w:t>
      3) охват всех видов деятельности банка, подверженных существенным рискам, на всех уровнях организационной структуры, полноту оценки отдельных существенных видов рисков, их взаимного влияния в целях определения риск-профиля банка и построения стратегии риск-аппетита;</w:t>
      </w:r>
    </w:p>
    <w:bookmarkEnd w:id="83"/>
    <w:bookmarkStart w:name="z3993" w:id="84"/>
    <w:p>
      <w:pPr>
        <w:spacing w:after="0"/>
        <w:ind w:left="0"/>
        <w:jc w:val="both"/>
      </w:pPr>
      <w:r>
        <w:rPr>
          <w:rFonts w:ascii="Times New Roman"/>
          <w:b w:val="false"/>
          <w:i w:val="false"/>
          <w:color w:val="000000"/>
          <w:sz w:val="28"/>
        </w:rPr>
        <w:t>
      4) наличие уровней риск-аппетита по всем видам существенных рисков и алгоритм действий в случаях нарушения установленных уровней, включая ответственность за принятие рисков, уровень которых определен как высокий, процедуры по информированию совета директоров, комитетов при совете директоров 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в рамках стратегии риск-аппетита;</w:t>
      </w:r>
    </w:p>
    <w:bookmarkEnd w:id="84"/>
    <w:bookmarkStart w:name="z3994" w:id="85"/>
    <w:p>
      <w:pPr>
        <w:spacing w:after="0"/>
        <w:ind w:left="0"/>
        <w:jc w:val="both"/>
      </w:pPr>
      <w:r>
        <w:rPr>
          <w:rFonts w:ascii="Times New Roman"/>
          <w:b w:val="false"/>
          <w:i w:val="false"/>
          <w:color w:val="000000"/>
          <w:sz w:val="28"/>
        </w:rPr>
        <w:t>
      5) осведомленность уполномоченных коллегиальных органов банка, принимающих решения, несущие за собой риски, посредством построения эффективной системы корпоративного управления, наличия полной, достоверной и своевременной управленческой информации о существенных рисках, присущих деятельности банка;</w:t>
      </w:r>
    </w:p>
    <w:bookmarkEnd w:id="85"/>
    <w:bookmarkStart w:name="z3995" w:id="86"/>
    <w:p>
      <w:pPr>
        <w:spacing w:after="0"/>
        <w:ind w:left="0"/>
        <w:jc w:val="both"/>
      </w:pPr>
      <w:r>
        <w:rPr>
          <w:rFonts w:ascii="Times New Roman"/>
          <w:b w:val="false"/>
          <w:i w:val="false"/>
          <w:color w:val="000000"/>
          <w:sz w:val="28"/>
        </w:rPr>
        <w:t>
      6)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Обязанность проявлять осмотрительность и заботливость не распространяется на ошибки в процессе принятия бизнес-решений, если только работники и должностные лица банка не проявили при этом грубую небрежность;</w:t>
      </w:r>
    </w:p>
    <w:bookmarkEnd w:id="86"/>
    <w:bookmarkStart w:name="z3996" w:id="87"/>
    <w:p>
      <w:pPr>
        <w:spacing w:after="0"/>
        <w:ind w:left="0"/>
        <w:jc w:val="both"/>
      </w:pPr>
      <w:r>
        <w:rPr>
          <w:rFonts w:ascii="Times New Roman"/>
          <w:b w:val="false"/>
          <w:i w:val="false"/>
          <w:color w:val="000000"/>
          <w:sz w:val="28"/>
        </w:rPr>
        <w:t>
      7) принятие решений работниками и должностными лицами банка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w:t>
      </w:r>
    </w:p>
    <w:bookmarkEnd w:id="87"/>
    <w:bookmarkStart w:name="z3997" w:id="88"/>
    <w:p>
      <w:pPr>
        <w:spacing w:after="0"/>
        <w:ind w:left="0"/>
        <w:jc w:val="both"/>
      </w:pPr>
      <w:r>
        <w:rPr>
          <w:rFonts w:ascii="Times New Roman"/>
          <w:b w:val="false"/>
          <w:i w:val="false"/>
          <w:color w:val="000000"/>
          <w:sz w:val="28"/>
        </w:rPr>
        <w:t>
      8) четкое распределение функций, обязанностей и полномочий управления рисками между всеми структурными подразделениями и работниками банка, и их ответственности с учетом минимизации конфликта интересов;</w:t>
      </w:r>
    </w:p>
    <w:bookmarkEnd w:id="88"/>
    <w:bookmarkStart w:name="z3998" w:id="89"/>
    <w:p>
      <w:pPr>
        <w:spacing w:after="0"/>
        <w:ind w:left="0"/>
        <w:jc w:val="both"/>
      </w:pPr>
      <w:r>
        <w:rPr>
          <w:rFonts w:ascii="Times New Roman"/>
          <w:b w:val="false"/>
          <w:i w:val="false"/>
          <w:color w:val="000000"/>
          <w:sz w:val="28"/>
        </w:rPr>
        <w:t>
      9) разделение функции управления рисками и внутреннего контроля от операционной деятельности банка посредством построения системы трех линий защиты, которая включает:</w:t>
      </w:r>
    </w:p>
    <w:bookmarkEnd w:id="89"/>
    <w:bookmarkStart w:name="z3999" w:id="90"/>
    <w:p>
      <w:pPr>
        <w:spacing w:after="0"/>
        <w:ind w:left="0"/>
        <w:jc w:val="both"/>
      </w:pPr>
      <w:r>
        <w:rPr>
          <w:rFonts w:ascii="Times New Roman"/>
          <w:b w:val="false"/>
          <w:i w:val="false"/>
          <w:color w:val="000000"/>
          <w:sz w:val="28"/>
        </w:rPr>
        <w:t>
      первую линию - на уровне структурных подразделений банка;</w:t>
      </w:r>
    </w:p>
    <w:bookmarkEnd w:id="90"/>
    <w:bookmarkStart w:name="z4000" w:id="91"/>
    <w:p>
      <w:pPr>
        <w:spacing w:after="0"/>
        <w:ind w:left="0"/>
        <w:jc w:val="both"/>
      </w:pPr>
      <w:r>
        <w:rPr>
          <w:rFonts w:ascii="Times New Roman"/>
          <w:b w:val="false"/>
          <w:i w:val="false"/>
          <w:color w:val="000000"/>
          <w:sz w:val="28"/>
        </w:rPr>
        <w:t>
      вторую линию - на уровне подразделений по управлению рисками и выполняющих контрольные функции;</w:t>
      </w:r>
    </w:p>
    <w:bookmarkEnd w:id="91"/>
    <w:bookmarkStart w:name="z4001" w:id="92"/>
    <w:p>
      <w:pPr>
        <w:spacing w:after="0"/>
        <w:ind w:left="0"/>
        <w:jc w:val="both"/>
      </w:pPr>
      <w:r>
        <w:rPr>
          <w:rFonts w:ascii="Times New Roman"/>
          <w:b w:val="false"/>
          <w:i w:val="false"/>
          <w:color w:val="000000"/>
          <w:sz w:val="28"/>
        </w:rPr>
        <w:t>
      третью линию - на уровне подразделения внутреннего аудита в части оценки эффективности функционирования системы управления рисками;</w:t>
      </w:r>
    </w:p>
    <w:bookmarkEnd w:id="92"/>
    <w:bookmarkStart w:name="z4002" w:id="93"/>
    <w:p>
      <w:pPr>
        <w:spacing w:after="0"/>
        <w:ind w:left="0"/>
        <w:jc w:val="both"/>
      </w:pPr>
      <w:r>
        <w:rPr>
          <w:rFonts w:ascii="Times New Roman"/>
          <w:b w:val="false"/>
          <w:i w:val="false"/>
          <w:color w:val="000000"/>
          <w:sz w:val="28"/>
        </w:rPr>
        <w:t>
      10) наличие документов, разработанных в целях регламентирования деятельности банка, создания и функционирования в банке эффективных систем управления рисками и внутреннего контроля и соответствующих стратегии, организационной структуре, профилю рисков банка и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их периодический пересмотр и актуализацию;</w:t>
      </w:r>
    </w:p>
    <w:bookmarkEnd w:id="93"/>
    <w:bookmarkStart w:name="z4003" w:id="94"/>
    <w:p>
      <w:pPr>
        <w:spacing w:after="0"/>
        <w:ind w:left="0"/>
        <w:jc w:val="both"/>
      </w:pPr>
      <w:r>
        <w:rPr>
          <w:rFonts w:ascii="Times New Roman"/>
          <w:b w:val="false"/>
          <w:i w:val="false"/>
          <w:color w:val="000000"/>
          <w:sz w:val="28"/>
        </w:rPr>
        <w:t>
      11) соблюдение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94"/>
    <w:bookmarkStart w:name="z4004" w:id="95"/>
    <w:p>
      <w:pPr>
        <w:spacing w:after="0"/>
        <w:ind w:left="0"/>
        <w:jc w:val="both"/>
      </w:pPr>
      <w:r>
        <w:rPr>
          <w:rFonts w:ascii="Times New Roman"/>
          <w:b w:val="false"/>
          <w:i w:val="false"/>
          <w:color w:val="000000"/>
          <w:sz w:val="28"/>
        </w:rPr>
        <w:t>
      12) соблюдение действующих процедур, процессов, политик и иных внутренних документов банка по управлению рисками посредством построения эффективной системы внутреннего контроля.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96"/>
    <w:p>
      <w:pPr>
        <w:spacing w:after="0"/>
        <w:ind w:left="0"/>
        <w:jc w:val="both"/>
      </w:pPr>
      <w:r>
        <w:rPr>
          <w:rFonts w:ascii="Times New Roman"/>
          <w:b w:val="false"/>
          <w:i w:val="false"/>
          <w:color w:val="000000"/>
          <w:sz w:val="28"/>
        </w:rPr>
        <w:t>
      6. Уполномоченный орган в рамках оценки эффективности системы управления рисками банка руководствуется следующими принципами:</w:t>
      </w:r>
    </w:p>
    <w:bookmarkEnd w:id="96"/>
    <w:bookmarkStart w:name="z79" w:id="97"/>
    <w:p>
      <w:pPr>
        <w:spacing w:after="0"/>
        <w:ind w:left="0"/>
        <w:jc w:val="both"/>
      </w:pPr>
      <w:r>
        <w:rPr>
          <w:rFonts w:ascii="Times New Roman"/>
          <w:b w:val="false"/>
          <w:i w:val="false"/>
          <w:color w:val="000000"/>
          <w:sz w:val="28"/>
        </w:rPr>
        <w:t>
      1) обеспечение финансовой стабильности банков, недопущения ухудшения финансового положения банков и увеличения рисков, связанных с деятельностью банков, защита законных интересов депозиторов, кредиторов, клиентов и корреспондентов банков;</w:t>
      </w:r>
    </w:p>
    <w:bookmarkEnd w:id="97"/>
    <w:bookmarkStart w:name="z80" w:id="98"/>
    <w:p>
      <w:pPr>
        <w:spacing w:after="0"/>
        <w:ind w:left="0"/>
        <w:jc w:val="both"/>
      </w:pPr>
      <w:r>
        <w:rPr>
          <w:rFonts w:ascii="Times New Roman"/>
          <w:b w:val="false"/>
          <w:i w:val="false"/>
          <w:color w:val="000000"/>
          <w:sz w:val="28"/>
        </w:rPr>
        <w:t>
      2) преобладание сущности над формой, выражающееся в оценке системы управления рисками банка как механизма измерения и оценки, мониторинга, контроля, и минимизации существенных рисков банка, а не формально регламентированных процедур банка и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98"/>
    <w:bookmarkStart w:name="z81" w:id="99"/>
    <w:p>
      <w:pPr>
        <w:spacing w:after="0"/>
        <w:ind w:left="0"/>
        <w:jc w:val="both"/>
      </w:pPr>
      <w:r>
        <w:rPr>
          <w:rFonts w:ascii="Times New Roman"/>
          <w:b w:val="false"/>
          <w:i w:val="false"/>
          <w:color w:val="000000"/>
          <w:sz w:val="28"/>
        </w:rPr>
        <w:t>
      3) пропорциональность при осуществлении функций по контролю и надзору, а также при применении по результатам контроля и надзора, мер предусмотренных законами Республики Казахстан, исходя из принятой банком бизнес модели, масштаба деятельности, видов и сложности операций и существенности рисков банка;</w:t>
      </w:r>
    </w:p>
    <w:bookmarkEnd w:id="99"/>
    <w:bookmarkStart w:name="z82" w:id="100"/>
    <w:p>
      <w:pPr>
        <w:spacing w:after="0"/>
        <w:ind w:left="0"/>
        <w:jc w:val="both"/>
      </w:pPr>
      <w:r>
        <w:rPr>
          <w:rFonts w:ascii="Times New Roman"/>
          <w:b w:val="false"/>
          <w:i w:val="false"/>
          <w:color w:val="000000"/>
          <w:sz w:val="28"/>
        </w:rPr>
        <w:t>
      4) применение единообразного подхода к оценке системы управления рисками и мерам надзорного реагирования;</w:t>
      </w:r>
    </w:p>
    <w:bookmarkEnd w:id="100"/>
    <w:bookmarkStart w:name="z83" w:id="101"/>
    <w:p>
      <w:pPr>
        <w:spacing w:after="0"/>
        <w:ind w:left="0"/>
        <w:jc w:val="both"/>
      </w:pPr>
      <w:r>
        <w:rPr>
          <w:rFonts w:ascii="Times New Roman"/>
          <w:b w:val="false"/>
          <w:i w:val="false"/>
          <w:color w:val="000000"/>
          <w:sz w:val="28"/>
        </w:rPr>
        <w:t>
      5) выявление существенных рисков в деятельности банка.</w:t>
      </w:r>
    </w:p>
    <w:bookmarkEnd w:id="101"/>
    <w:bookmarkStart w:name="z84" w:id="102"/>
    <w:p>
      <w:pPr>
        <w:spacing w:after="0"/>
        <w:ind w:left="0"/>
        <w:jc w:val="both"/>
      </w:pPr>
      <w:r>
        <w:rPr>
          <w:rFonts w:ascii="Times New Roman"/>
          <w:b w:val="false"/>
          <w:i w:val="false"/>
          <w:color w:val="000000"/>
          <w:sz w:val="28"/>
        </w:rPr>
        <w:t>
      7. Уполномоченный орган осуществляет оценку:</w:t>
      </w:r>
    </w:p>
    <w:bookmarkEnd w:id="102"/>
    <w:bookmarkStart w:name="z85" w:id="103"/>
    <w:p>
      <w:pPr>
        <w:spacing w:after="0"/>
        <w:ind w:left="0"/>
        <w:jc w:val="both"/>
      </w:pPr>
      <w:r>
        <w:rPr>
          <w:rFonts w:ascii="Times New Roman"/>
          <w:b w:val="false"/>
          <w:i w:val="false"/>
          <w:color w:val="000000"/>
          <w:sz w:val="28"/>
        </w:rPr>
        <w:t>
      1) эффективности системы корпоративного управления;</w:t>
      </w:r>
    </w:p>
    <w:bookmarkEnd w:id="103"/>
    <w:bookmarkStart w:name="z86" w:id="104"/>
    <w:p>
      <w:pPr>
        <w:spacing w:after="0"/>
        <w:ind w:left="0"/>
        <w:jc w:val="both"/>
      </w:pPr>
      <w:r>
        <w:rPr>
          <w:rFonts w:ascii="Times New Roman"/>
          <w:b w:val="false"/>
          <w:i w:val="false"/>
          <w:color w:val="000000"/>
          <w:sz w:val="28"/>
        </w:rPr>
        <w:t>
      2) существенных рисков, присущих деятельности банка, с учетом видов и сложности операций банка;</w:t>
      </w:r>
    </w:p>
    <w:bookmarkEnd w:id="104"/>
    <w:bookmarkStart w:name="z87" w:id="105"/>
    <w:p>
      <w:pPr>
        <w:spacing w:after="0"/>
        <w:ind w:left="0"/>
        <w:jc w:val="both"/>
      </w:pPr>
      <w:r>
        <w:rPr>
          <w:rFonts w:ascii="Times New Roman"/>
          <w:b w:val="false"/>
          <w:i w:val="false"/>
          <w:color w:val="000000"/>
          <w:sz w:val="28"/>
        </w:rPr>
        <w:t>
      3) соответствия систем управления рисками выбранной бизнес модели, масштабу деятельности, видам и сложности операций банка;</w:t>
      </w:r>
    </w:p>
    <w:bookmarkEnd w:id="105"/>
    <w:bookmarkStart w:name="z88" w:id="106"/>
    <w:p>
      <w:pPr>
        <w:spacing w:after="0"/>
        <w:ind w:left="0"/>
        <w:jc w:val="both"/>
      </w:pPr>
      <w:r>
        <w:rPr>
          <w:rFonts w:ascii="Times New Roman"/>
          <w:b w:val="false"/>
          <w:i w:val="false"/>
          <w:color w:val="000000"/>
          <w:sz w:val="28"/>
        </w:rPr>
        <w:t>
      4) финансового состояния крупных участников банка в целях определения возможности поддержания финансовой устойчивости банка;</w:t>
      </w:r>
    </w:p>
    <w:bookmarkEnd w:id="106"/>
    <w:bookmarkStart w:name="z89" w:id="107"/>
    <w:p>
      <w:pPr>
        <w:spacing w:after="0"/>
        <w:ind w:left="0"/>
        <w:jc w:val="both"/>
      </w:pPr>
      <w:r>
        <w:rPr>
          <w:rFonts w:ascii="Times New Roman"/>
          <w:b w:val="false"/>
          <w:i w:val="false"/>
          <w:color w:val="000000"/>
          <w:sz w:val="28"/>
        </w:rPr>
        <w:t>
      5) влияния финансового состояния участников банковского конгломерата на финансовую устойчивость банка;</w:t>
      </w:r>
    </w:p>
    <w:bookmarkEnd w:id="107"/>
    <w:bookmarkStart w:name="z90" w:id="108"/>
    <w:p>
      <w:pPr>
        <w:spacing w:after="0"/>
        <w:ind w:left="0"/>
        <w:jc w:val="both"/>
      </w:pPr>
      <w:r>
        <w:rPr>
          <w:rFonts w:ascii="Times New Roman"/>
          <w:b w:val="false"/>
          <w:i w:val="false"/>
          <w:color w:val="000000"/>
          <w:sz w:val="28"/>
        </w:rPr>
        <w:t>
      6) эффективности применения превентивных мер с целью недопущения ухудшения финансовой устойчивости банка посредством корректировки систем управления рисками, исходя из масштаба деятельности и уровня принимаемых рисков;</w:t>
      </w:r>
    </w:p>
    <w:bookmarkEnd w:id="108"/>
    <w:bookmarkStart w:name="z91" w:id="109"/>
    <w:p>
      <w:pPr>
        <w:spacing w:after="0"/>
        <w:ind w:left="0"/>
        <w:jc w:val="both"/>
      </w:pPr>
      <w:r>
        <w:rPr>
          <w:rFonts w:ascii="Times New Roman"/>
          <w:b w:val="false"/>
          <w:i w:val="false"/>
          <w:color w:val="000000"/>
          <w:sz w:val="28"/>
        </w:rPr>
        <w:t>
      7) применения системы количественных и качественных показателей в рамках оценки деятельности банка и эффективность методов моделирования.</w:t>
      </w:r>
    </w:p>
    <w:bookmarkEnd w:id="109"/>
    <w:bookmarkStart w:name="z92" w:id="110"/>
    <w:p>
      <w:pPr>
        <w:spacing w:after="0"/>
        <w:ind w:left="0"/>
        <w:jc w:val="left"/>
      </w:pPr>
      <w:r>
        <w:rPr>
          <w:rFonts w:ascii="Times New Roman"/>
          <w:b/>
          <w:i w:val="false"/>
          <w:color w:val="000000"/>
        </w:rPr>
        <w:t xml:space="preserve"> Глава 2. Бизнес модель</w:t>
      </w:r>
    </w:p>
    <w:bookmarkEnd w:id="110"/>
    <w:bookmarkStart w:name="z93" w:id="111"/>
    <w:p>
      <w:pPr>
        <w:spacing w:after="0"/>
        <w:ind w:left="0"/>
        <w:jc w:val="both"/>
      </w:pPr>
      <w:r>
        <w:rPr>
          <w:rFonts w:ascii="Times New Roman"/>
          <w:b w:val="false"/>
          <w:i w:val="false"/>
          <w:color w:val="000000"/>
          <w:sz w:val="28"/>
        </w:rPr>
        <w:t>
      8. Бизнес модель банка – это совокупность выбранной стратегии, продуктов, процессов планирования, обеспечивающих конкурентоспособность и достаточный уровень доходности. Основными принципами при формировании бизнес модели банка являются:</w:t>
      </w:r>
    </w:p>
    <w:bookmarkEnd w:id="111"/>
    <w:bookmarkStart w:name="z94" w:id="112"/>
    <w:p>
      <w:pPr>
        <w:spacing w:after="0"/>
        <w:ind w:left="0"/>
        <w:jc w:val="both"/>
      </w:pPr>
      <w:r>
        <w:rPr>
          <w:rFonts w:ascii="Times New Roman"/>
          <w:b w:val="false"/>
          <w:i w:val="false"/>
          <w:color w:val="000000"/>
          <w:sz w:val="28"/>
        </w:rPr>
        <w:t>
      1) жизнеспособность, выражающаяся в способности банка обеспечивать достаточный уровень доходности в ближайшие 12 (двенадцать) месяцев и основанная на бюджетном планировании и прогнозировании финансовых показателей;</w:t>
      </w:r>
    </w:p>
    <w:bookmarkEnd w:id="112"/>
    <w:bookmarkStart w:name="z95" w:id="113"/>
    <w:p>
      <w:pPr>
        <w:spacing w:after="0"/>
        <w:ind w:left="0"/>
        <w:jc w:val="both"/>
      </w:pPr>
      <w:r>
        <w:rPr>
          <w:rFonts w:ascii="Times New Roman"/>
          <w:b w:val="false"/>
          <w:i w:val="false"/>
          <w:color w:val="000000"/>
          <w:sz w:val="28"/>
        </w:rPr>
        <w:t>
      2) устойчивость, выражающаяся в способности банка обеспечивать достаточный уровень доходности на период не менее 3 (трех) лет и основанная на стратегическом планировании и прогнозировании финансовых показателей.</w:t>
      </w:r>
    </w:p>
    <w:bookmarkEnd w:id="113"/>
    <w:bookmarkStart w:name="z96" w:id="114"/>
    <w:p>
      <w:pPr>
        <w:spacing w:after="0"/>
        <w:ind w:left="0"/>
        <w:jc w:val="both"/>
      </w:pPr>
      <w:r>
        <w:rPr>
          <w:rFonts w:ascii="Times New Roman"/>
          <w:b w:val="false"/>
          <w:i w:val="false"/>
          <w:color w:val="000000"/>
          <w:sz w:val="28"/>
        </w:rPr>
        <w:t>
      Банк проводит регулярный анализ бизнес модели в целях оценки влияния на нее стратегических рисков и рисков, присущих деятельности банка.</w:t>
      </w:r>
    </w:p>
    <w:bookmarkEnd w:id="114"/>
    <w:bookmarkStart w:name="z97" w:id="115"/>
    <w:p>
      <w:pPr>
        <w:spacing w:after="0"/>
        <w:ind w:left="0"/>
        <w:jc w:val="both"/>
      </w:pPr>
      <w:r>
        <w:rPr>
          <w:rFonts w:ascii="Times New Roman"/>
          <w:b w:val="false"/>
          <w:i w:val="false"/>
          <w:color w:val="000000"/>
          <w:sz w:val="28"/>
        </w:rPr>
        <w:t>
      Банковская деятельность осуществляется в рамках выбранной бизнес модели с учетом объема активов, характера и уровня сложности деятельности, организационной структуры, риск-профиля.</w:t>
      </w:r>
    </w:p>
    <w:bookmarkEnd w:id="115"/>
    <w:bookmarkStart w:name="z98" w:id="116"/>
    <w:p>
      <w:pPr>
        <w:spacing w:after="0"/>
        <w:ind w:left="0"/>
        <w:jc w:val="both"/>
      </w:pPr>
      <w:r>
        <w:rPr>
          <w:rFonts w:ascii="Times New Roman"/>
          <w:b w:val="false"/>
          <w:i w:val="false"/>
          <w:color w:val="000000"/>
          <w:sz w:val="28"/>
        </w:rPr>
        <w:t>
      9. Стратегия банка утверждается советом директоров банка на период не менее 3 (трех) лет и содержит:</w:t>
      </w:r>
    </w:p>
    <w:bookmarkEnd w:id="116"/>
    <w:bookmarkStart w:name="z99" w:id="117"/>
    <w:p>
      <w:pPr>
        <w:spacing w:after="0"/>
        <w:ind w:left="0"/>
        <w:jc w:val="both"/>
      </w:pPr>
      <w:r>
        <w:rPr>
          <w:rFonts w:ascii="Times New Roman"/>
          <w:b w:val="false"/>
          <w:i w:val="false"/>
          <w:color w:val="000000"/>
          <w:sz w:val="28"/>
        </w:rPr>
        <w:t>
      1) миссии и цели развития деятельности банка. Цели являются измеримыми, достижимыми, реалистичными и имеющими точные сроки реализации;</w:t>
      </w:r>
    </w:p>
    <w:bookmarkEnd w:id="117"/>
    <w:bookmarkStart w:name="z100" w:id="118"/>
    <w:p>
      <w:pPr>
        <w:spacing w:after="0"/>
        <w:ind w:left="0"/>
        <w:jc w:val="both"/>
      </w:pPr>
      <w:r>
        <w:rPr>
          <w:rFonts w:ascii="Times New Roman"/>
          <w:b w:val="false"/>
          <w:i w:val="false"/>
          <w:color w:val="000000"/>
          <w:sz w:val="28"/>
        </w:rPr>
        <w:t>
      2) целевые сегменты рынка в разрезе секторов экономики и географического распределения развития деятельности банка;</w:t>
      </w:r>
    </w:p>
    <w:bookmarkEnd w:id="118"/>
    <w:bookmarkStart w:name="z101" w:id="119"/>
    <w:p>
      <w:pPr>
        <w:spacing w:after="0"/>
        <w:ind w:left="0"/>
        <w:jc w:val="both"/>
      </w:pPr>
      <w:r>
        <w:rPr>
          <w:rFonts w:ascii="Times New Roman"/>
          <w:b w:val="false"/>
          <w:i w:val="false"/>
          <w:color w:val="000000"/>
          <w:sz w:val="28"/>
        </w:rPr>
        <w:t>
      3) анализ сильных и слабых сторон выбранной стратегии банка с учетом ключевых источников доходов;</w:t>
      </w:r>
    </w:p>
    <w:bookmarkEnd w:id="119"/>
    <w:bookmarkStart w:name="z102" w:id="120"/>
    <w:p>
      <w:pPr>
        <w:spacing w:after="0"/>
        <w:ind w:left="0"/>
        <w:jc w:val="both"/>
      </w:pPr>
      <w:r>
        <w:rPr>
          <w:rFonts w:ascii="Times New Roman"/>
          <w:b w:val="false"/>
          <w:i w:val="false"/>
          <w:color w:val="000000"/>
          <w:sz w:val="28"/>
        </w:rPr>
        <w:t>
      4) количественные показатели кредитного портфеля, ликвидных активов, вкладов клиентов и других привлеченных средств с учетом установленных уровней риск-аппетита. При этом используемые реалистичные допущения, которые учитывают имеющиеся и доступные ресурсы, текущие и потенциальные экономические условия;</w:t>
      </w:r>
    </w:p>
    <w:bookmarkEnd w:id="120"/>
    <w:bookmarkStart w:name="z103" w:id="121"/>
    <w:p>
      <w:pPr>
        <w:spacing w:after="0"/>
        <w:ind w:left="0"/>
        <w:jc w:val="both"/>
      </w:pPr>
      <w:r>
        <w:rPr>
          <w:rFonts w:ascii="Times New Roman"/>
          <w:b w:val="false"/>
          <w:i w:val="false"/>
          <w:color w:val="000000"/>
          <w:sz w:val="28"/>
        </w:rPr>
        <w:t>
      5) анализ ключевых источников доходов;</w:t>
      </w:r>
    </w:p>
    <w:bookmarkEnd w:id="121"/>
    <w:bookmarkStart w:name="z104" w:id="122"/>
    <w:p>
      <w:pPr>
        <w:spacing w:after="0"/>
        <w:ind w:left="0"/>
        <w:jc w:val="both"/>
      </w:pPr>
      <w:r>
        <w:rPr>
          <w:rFonts w:ascii="Times New Roman"/>
          <w:b w:val="false"/>
          <w:i w:val="false"/>
          <w:color w:val="000000"/>
          <w:sz w:val="28"/>
        </w:rPr>
        <w:t>
      6) ключевые виды вложений, их структуру и планируемые изменения, в том числе по внедрению и развитию новых продуктов и услуг с учетом оценки рисков и процессов, связанных с их внедрением и развитием, а также оценки текущих возможностей банка по внедрению и развитию таких продуктов;</w:t>
      </w:r>
    </w:p>
    <w:bookmarkEnd w:id="122"/>
    <w:bookmarkStart w:name="z105" w:id="123"/>
    <w:p>
      <w:pPr>
        <w:spacing w:after="0"/>
        <w:ind w:left="0"/>
        <w:jc w:val="both"/>
      </w:pPr>
      <w:r>
        <w:rPr>
          <w:rFonts w:ascii="Times New Roman"/>
          <w:b w:val="false"/>
          <w:i w:val="false"/>
          <w:color w:val="000000"/>
          <w:sz w:val="28"/>
        </w:rPr>
        <w:t>
      7) сценарии стратегического развития деятельности банка (негативный, и наиболее вероятные варианты развития событий).</w:t>
      </w:r>
    </w:p>
    <w:bookmarkEnd w:id="123"/>
    <w:bookmarkStart w:name="z106" w:id="124"/>
    <w:p>
      <w:pPr>
        <w:spacing w:after="0"/>
        <w:ind w:left="0"/>
        <w:jc w:val="both"/>
      </w:pPr>
      <w:r>
        <w:rPr>
          <w:rFonts w:ascii="Times New Roman"/>
          <w:b w:val="false"/>
          <w:i w:val="false"/>
          <w:color w:val="000000"/>
          <w:sz w:val="28"/>
        </w:rPr>
        <w:t>
      10. Бюджет банка ежегодно утверждается советом директоров банка и содержит ежемесячный прогноз финансовых показателей (активов и пассивов, доходов и расходов, информацию о ссудном портфеле, вкладах клиентов и иных привлеченных средствах, в разрезе валют (национальной и иностранных валют в совокупности), категорий клиентов).</w:t>
      </w:r>
    </w:p>
    <w:bookmarkEnd w:id="124"/>
    <w:bookmarkStart w:name="z107" w:id="125"/>
    <w:p>
      <w:pPr>
        <w:spacing w:after="0"/>
        <w:ind w:left="0"/>
        <w:jc w:val="both"/>
      </w:pPr>
      <w:r>
        <w:rPr>
          <w:rFonts w:ascii="Times New Roman"/>
          <w:b w:val="false"/>
          <w:i w:val="false"/>
          <w:color w:val="000000"/>
          <w:sz w:val="28"/>
        </w:rPr>
        <w:t>
      Бюджет соответствует стратегии банка. При этом используемые допущения реалистичны и учитывают имеющиеся и доступные ресурсы, текущие и потенциальные экономические условия и возможные риски.</w:t>
      </w:r>
    </w:p>
    <w:bookmarkEnd w:id="125"/>
    <w:bookmarkStart w:name="z108" w:id="126"/>
    <w:p>
      <w:pPr>
        <w:spacing w:after="0"/>
        <w:ind w:left="0"/>
        <w:jc w:val="both"/>
      </w:pPr>
      <w:r>
        <w:rPr>
          <w:rFonts w:ascii="Times New Roman"/>
          <w:b w:val="false"/>
          <w:i w:val="false"/>
          <w:color w:val="000000"/>
          <w:sz w:val="28"/>
        </w:rPr>
        <w:t>
      Одним из компонентов эффективного бюджетного планирования является тарифная политика, которая минимально включает следующие компоненты:</w:t>
      </w:r>
    </w:p>
    <w:bookmarkEnd w:id="126"/>
    <w:bookmarkStart w:name="z109" w:id="127"/>
    <w:p>
      <w:pPr>
        <w:spacing w:after="0"/>
        <w:ind w:left="0"/>
        <w:jc w:val="both"/>
      </w:pPr>
      <w:r>
        <w:rPr>
          <w:rFonts w:ascii="Times New Roman"/>
          <w:b w:val="false"/>
          <w:i w:val="false"/>
          <w:color w:val="000000"/>
          <w:sz w:val="28"/>
        </w:rPr>
        <w:t>
      внутренний порядок и процедуры проведения рыночного анализа спроса и цен на банковские услуги;</w:t>
      </w:r>
    </w:p>
    <w:bookmarkEnd w:id="127"/>
    <w:bookmarkStart w:name="z110" w:id="128"/>
    <w:p>
      <w:pPr>
        <w:spacing w:after="0"/>
        <w:ind w:left="0"/>
        <w:jc w:val="both"/>
      </w:pPr>
      <w:r>
        <w:rPr>
          <w:rFonts w:ascii="Times New Roman"/>
          <w:b w:val="false"/>
          <w:i w:val="false"/>
          <w:color w:val="000000"/>
          <w:sz w:val="28"/>
        </w:rPr>
        <w:t>
      внутренний порядок и процедуры формирования структуры процентных ставок и тарифов;</w:t>
      </w:r>
    </w:p>
    <w:bookmarkEnd w:id="128"/>
    <w:bookmarkStart w:name="z111" w:id="129"/>
    <w:p>
      <w:pPr>
        <w:spacing w:after="0"/>
        <w:ind w:left="0"/>
        <w:jc w:val="both"/>
      </w:pPr>
      <w:r>
        <w:rPr>
          <w:rFonts w:ascii="Times New Roman"/>
          <w:b w:val="false"/>
          <w:i w:val="false"/>
          <w:color w:val="000000"/>
          <w:sz w:val="28"/>
        </w:rPr>
        <w:t>
      приемлемые для банка предельные нижние и верхние границы процентных ставок и тарифов, а также требования к внутреннему порядку их утверждения с учетом требований гражданского, банковского законодательства Республики Казахстан, о платежах и платежных системах, об обязательном гарантировании депозитов, их применения и периодического пересмотра;</w:t>
      </w:r>
    </w:p>
    <w:bookmarkEnd w:id="129"/>
    <w:bookmarkStart w:name="z112" w:id="130"/>
    <w:p>
      <w:pPr>
        <w:spacing w:after="0"/>
        <w:ind w:left="0"/>
        <w:jc w:val="both"/>
      </w:pPr>
      <w:r>
        <w:rPr>
          <w:rFonts w:ascii="Times New Roman"/>
          <w:b w:val="false"/>
          <w:i w:val="false"/>
          <w:color w:val="000000"/>
          <w:sz w:val="28"/>
        </w:rPr>
        <w:t>
      критерии выбора метода определения цен на банковские услуги, а также требования к методикам, основанным на оценке характера и уровня сложности деятельности банка и рисков, присущих банку;</w:t>
      </w:r>
    </w:p>
    <w:bookmarkEnd w:id="130"/>
    <w:bookmarkStart w:name="z113" w:id="131"/>
    <w:p>
      <w:pPr>
        <w:spacing w:after="0"/>
        <w:ind w:left="0"/>
        <w:jc w:val="both"/>
      </w:pPr>
      <w:r>
        <w:rPr>
          <w:rFonts w:ascii="Times New Roman"/>
          <w:b w:val="false"/>
          <w:i w:val="false"/>
          <w:color w:val="000000"/>
          <w:sz w:val="28"/>
        </w:rPr>
        <w:t>
      участники процесса ценообразования и порядок взаимодействия между ними, включая обмен информацией;</w:t>
      </w:r>
    </w:p>
    <w:bookmarkEnd w:id="131"/>
    <w:bookmarkStart w:name="z114" w:id="132"/>
    <w:p>
      <w:pPr>
        <w:spacing w:after="0"/>
        <w:ind w:left="0"/>
        <w:jc w:val="both"/>
      </w:pPr>
      <w:r>
        <w:rPr>
          <w:rFonts w:ascii="Times New Roman"/>
          <w:b w:val="false"/>
          <w:i w:val="false"/>
          <w:color w:val="000000"/>
          <w:sz w:val="28"/>
        </w:rPr>
        <w:t>
      внутренний порядок и процедуры своевременного информирования клиентов банка об условиях предоставления банковских услуг, а также информирование об изменениях.</w:t>
      </w:r>
    </w:p>
    <w:bookmarkEnd w:id="132"/>
    <w:bookmarkStart w:name="z115" w:id="133"/>
    <w:p>
      <w:pPr>
        <w:spacing w:after="0"/>
        <w:ind w:left="0"/>
        <w:jc w:val="both"/>
      </w:pPr>
      <w:r>
        <w:rPr>
          <w:rFonts w:ascii="Times New Roman"/>
          <w:b w:val="false"/>
          <w:i w:val="false"/>
          <w:color w:val="000000"/>
          <w:sz w:val="28"/>
        </w:rPr>
        <w:t>
      Банк ежемесячно проводит анализ бюджета на предмет соответствия прогнозных показателей фактическим значениям, причин выявленных отклонений с последующей разработкой при необходимости корректирующих мер по исправлению и вносит обоснованные корректировки с дальнейшим их документированием.</w:t>
      </w:r>
    </w:p>
    <w:bookmarkEnd w:id="133"/>
    <w:bookmarkStart w:name="z116" w:id="134"/>
    <w:p>
      <w:pPr>
        <w:spacing w:after="0"/>
        <w:ind w:left="0"/>
        <w:jc w:val="both"/>
      </w:pPr>
      <w:r>
        <w:rPr>
          <w:rFonts w:ascii="Times New Roman"/>
          <w:b w:val="false"/>
          <w:i w:val="false"/>
          <w:color w:val="000000"/>
          <w:sz w:val="28"/>
        </w:rPr>
        <w:t>
      11. В процессе стратегического и бюджетного планирования банк проводит анализ ключевых источников доходности с целью выявления потенциальных рисков.</w:t>
      </w:r>
    </w:p>
    <w:bookmarkEnd w:id="134"/>
    <w:bookmarkStart w:name="z117" w:id="135"/>
    <w:p>
      <w:pPr>
        <w:spacing w:after="0"/>
        <w:ind w:left="0"/>
        <w:jc w:val="both"/>
      </w:pPr>
      <w:r>
        <w:rPr>
          <w:rFonts w:ascii="Times New Roman"/>
          <w:b w:val="false"/>
          <w:i w:val="false"/>
          <w:color w:val="000000"/>
          <w:sz w:val="28"/>
        </w:rPr>
        <w:t>
      В целях поддержания стратегии и бюджета банка в актуальном состоянии банк ежегодно осуществляет анализ целевых рынков, в которых осуществляет свою деятельность, проводит оценку конкурентной среды, достаточности ресурсов и способности генерировать краткосрочную и долгосрочную доходность.</w:t>
      </w:r>
    </w:p>
    <w:bookmarkEnd w:id="135"/>
    <w:bookmarkStart w:name="z118" w:id="136"/>
    <w:p>
      <w:pPr>
        <w:spacing w:after="0"/>
        <w:ind w:left="0"/>
        <w:jc w:val="both"/>
      </w:pPr>
      <w:r>
        <w:rPr>
          <w:rFonts w:ascii="Times New Roman"/>
          <w:b w:val="false"/>
          <w:i w:val="false"/>
          <w:color w:val="000000"/>
          <w:sz w:val="28"/>
        </w:rPr>
        <w:t>
      Стратегическое и бюджетное планирование осуществляется в рамках принятых и утвержденных уровней риск-аппетита.</w:t>
      </w:r>
    </w:p>
    <w:bookmarkEnd w:id="136"/>
    <w:bookmarkStart w:name="z119" w:id="137"/>
    <w:p>
      <w:pPr>
        <w:spacing w:after="0"/>
        <w:ind w:left="0"/>
        <w:jc w:val="left"/>
      </w:pPr>
      <w:r>
        <w:rPr>
          <w:rFonts w:ascii="Times New Roman"/>
          <w:b/>
          <w:i w:val="false"/>
          <w:color w:val="000000"/>
        </w:rPr>
        <w:t xml:space="preserve"> Глава 3. Стратегия риск-аппетита</w:t>
      </w:r>
    </w:p>
    <w:bookmarkEnd w:id="137"/>
    <w:bookmarkStart w:name="z120" w:id="138"/>
    <w:p>
      <w:pPr>
        <w:spacing w:after="0"/>
        <w:ind w:left="0"/>
        <w:jc w:val="both"/>
      </w:pPr>
      <w:r>
        <w:rPr>
          <w:rFonts w:ascii="Times New Roman"/>
          <w:b w:val="false"/>
          <w:i w:val="false"/>
          <w:color w:val="000000"/>
          <w:sz w:val="28"/>
        </w:rPr>
        <w:t>
      12. В целях построения эффективной системы управления рисками совет директоров банка утверждает стратегию риск-аппетита в качестве отдельного документа, либо как составной части стратегии банка. Стратегия риск-аппетита определяет четкие границы объема принимаемых рисков, в которых осуществляется деятельность банка в рамках реализации общей стратегии банка, а также определяет риск-профиль деятельности банка с целью недопущения реализации рисков либо минимизации их отрицательного влияния на финансовое положение банка. Стратегия риск-аппетита учитывается:</w:t>
      </w:r>
    </w:p>
    <w:bookmarkEnd w:id="138"/>
    <w:bookmarkStart w:name="z121" w:id="139"/>
    <w:p>
      <w:pPr>
        <w:spacing w:after="0"/>
        <w:ind w:left="0"/>
        <w:jc w:val="both"/>
      </w:pPr>
      <w:r>
        <w:rPr>
          <w:rFonts w:ascii="Times New Roman"/>
          <w:b w:val="false"/>
          <w:i w:val="false"/>
          <w:color w:val="000000"/>
          <w:sz w:val="28"/>
        </w:rPr>
        <w:t xml:space="preserve">
      1) при стратегическом и бюджетном планировании, определенных </w:t>
      </w:r>
      <w:r>
        <w:rPr>
          <w:rFonts w:ascii="Times New Roman"/>
          <w:b w:val="false"/>
          <w:i w:val="false"/>
          <w:color w:val="000000"/>
          <w:sz w:val="28"/>
        </w:rPr>
        <w:t>главой 2</w:t>
      </w:r>
      <w:r>
        <w:rPr>
          <w:rFonts w:ascii="Times New Roman"/>
          <w:b w:val="false"/>
          <w:i w:val="false"/>
          <w:color w:val="000000"/>
          <w:sz w:val="28"/>
        </w:rPr>
        <w:t xml:space="preserve"> Правил;</w:t>
      </w:r>
    </w:p>
    <w:bookmarkEnd w:id="139"/>
    <w:bookmarkStart w:name="z122" w:id="140"/>
    <w:p>
      <w:pPr>
        <w:spacing w:after="0"/>
        <w:ind w:left="0"/>
        <w:jc w:val="both"/>
      </w:pPr>
      <w:r>
        <w:rPr>
          <w:rFonts w:ascii="Times New Roman"/>
          <w:b w:val="false"/>
          <w:i w:val="false"/>
          <w:color w:val="000000"/>
          <w:sz w:val="28"/>
        </w:rPr>
        <w:t xml:space="preserve">
      2) во внутренних процессах оценки достаточности капитала и ликвидности, определенных </w:t>
      </w:r>
      <w:r>
        <w:rPr>
          <w:rFonts w:ascii="Times New Roman"/>
          <w:b w:val="false"/>
          <w:i w:val="false"/>
          <w:color w:val="000000"/>
          <w:sz w:val="28"/>
        </w:rPr>
        <w:t>главами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w:t>
      </w:r>
    </w:p>
    <w:bookmarkEnd w:id="140"/>
    <w:bookmarkStart w:name="z123" w:id="141"/>
    <w:p>
      <w:pPr>
        <w:spacing w:after="0"/>
        <w:ind w:left="0"/>
        <w:jc w:val="both"/>
      </w:pPr>
      <w:r>
        <w:rPr>
          <w:rFonts w:ascii="Times New Roman"/>
          <w:b w:val="false"/>
          <w:i w:val="false"/>
          <w:color w:val="000000"/>
          <w:sz w:val="28"/>
        </w:rPr>
        <w:t xml:space="preserve">
      3) при формировании организационной структуры банка и политики оплаты труда, определенных </w:t>
      </w:r>
      <w:r>
        <w:rPr>
          <w:rFonts w:ascii="Times New Roman"/>
          <w:b w:val="false"/>
          <w:i w:val="false"/>
          <w:color w:val="000000"/>
          <w:sz w:val="28"/>
        </w:rPr>
        <w:t>главой 4</w:t>
      </w:r>
      <w:r>
        <w:rPr>
          <w:rFonts w:ascii="Times New Roman"/>
          <w:b w:val="false"/>
          <w:i w:val="false"/>
          <w:color w:val="000000"/>
          <w:sz w:val="28"/>
        </w:rPr>
        <w:t xml:space="preserve"> Правил.</w:t>
      </w:r>
    </w:p>
    <w:bookmarkEnd w:id="141"/>
    <w:bookmarkStart w:name="z124" w:id="142"/>
    <w:p>
      <w:pPr>
        <w:spacing w:after="0"/>
        <w:ind w:left="0"/>
        <w:jc w:val="both"/>
      </w:pPr>
      <w:r>
        <w:rPr>
          <w:rFonts w:ascii="Times New Roman"/>
          <w:b w:val="false"/>
          <w:i w:val="false"/>
          <w:color w:val="000000"/>
          <w:sz w:val="28"/>
        </w:rPr>
        <w:t>
      13. Эффективная стратегия риск-аппетита:</w:t>
      </w:r>
    </w:p>
    <w:bookmarkEnd w:id="142"/>
    <w:bookmarkStart w:name="z125" w:id="143"/>
    <w:p>
      <w:pPr>
        <w:spacing w:after="0"/>
        <w:ind w:left="0"/>
        <w:jc w:val="both"/>
      </w:pPr>
      <w:r>
        <w:rPr>
          <w:rFonts w:ascii="Times New Roman"/>
          <w:b w:val="false"/>
          <w:i w:val="false"/>
          <w:color w:val="000000"/>
          <w:sz w:val="28"/>
        </w:rPr>
        <w:t>
      1) содержит описание риск-профиля банка;</w:t>
      </w:r>
    </w:p>
    <w:bookmarkEnd w:id="143"/>
    <w:bookmarkStart w:name="z126" w:id="144"/>
    <w:p>
      <w:pPr>
        <w:spacing w:after="0"/>
        <w:ind w:left="0"/>
        <w:jc w:val="both"/>
      </w:pPr>
      <w:r>
        <w:rPr>
          <w:rFonts w:ascii="Times New Roman"/>
          <w:b w:val="false"/>
          <w:i w:val="false"/>
          <w:color w:val="000000"/>
          <w:sz w:val="28"/>
        </w:rPr>
        <w:t>
      2) содержит процесс распространения стратегии по всем структурным подразделениям и доводится до сведения работников банка;</w:t>
      </w:r>
    </w:p>
    <w:bookmarkEnd w:id="144"/>
    <w:bookmarkStart w:name="z127" w:id="145"/>
    <w:p>
      <w:pPr>
        <w:spacing w:after="0"/>
        <w:ind w:left="0"/>
        <w:jc w:val="both"/>
      </w:pPr>
      <w:r>
        <w:rPr>
          <w:rFonts w:ascii="Times New Roman"/>
          <w:b w:val="false"/>
          <w:i w:val="false"/>
          <w:color w:val="000000"/>
          <w:sz w:val="28"/>
        </w:rPr>
        <w:t>
      3) направлена на внедрение риск-культуры на всех уровнях организационной структуры банка, а также на распространение практики соблюдения уровней риск-аппетита в рамках риск-культуры;</w:t>
      </w:r>
    </w:p>
    <w:bookmarkEnd w:id="145"/>
    <w:bookmarkStart w:name="z128" w:id="146"/>
    <w:p>
      <w:pPr>
        <w:spacing w:after="0"/>
        <w:ind w:left="0"/>
        <w:jc w:val="both"/>
      </w:pPr>
      <w:r>
        <w:rPr>
          <w:rFonts w:ascii="Times New Roman"/>
          <w:b w:val="false"/>
          <w:i w:val="false"/>
          <w:color w:val="000000"/>
          <w:sz w:val="28"/>
        </w:rPr>
        <w:t>
      4) обеспечивает защиту от принятия банком избыточных рисков при принятии решений;</w:t>
      </w:r>
    </w:p>
    <w:bookmarkEnd w:id="146"/>
    <w:bookmarkStart w:name="z129" w:id="147"/>
    <w:p>
      <w:pPr>
        <w:spacing w:after="0"/>
        <w:ind w:left="0"/>
        <w:jc w:val="both"/>
      </w:pPr>
      <w:r>
        <w:rPr>
          <w:rFonts w:ascii="Times New Roman"/>
          <w:b w:val="false"/>
          <w:i w:val="false"/>
          <w:color w:val="000000"/>
          <w:sz w:val="28"/>
        </w:rPr>
        <w:t>
      5) является основой для формирования заявления аппетита к риску;</w:t>
      </w:r>
    </w:p>
    <w:bookmarkEnd w:id="147"/>
    <w:bookmarkStart w:name="z130" w:id="148"/>
    <w:p>
      <w:pPr>
        <w:spacing w:after="0"/>
        <w:ind w:left="0"/>
        <w:jc w:val="both"/>
      </w:pPr>
      <w:r>
        <w:rPr>
          <w:rFonts w:ascii="Times New Roman"/>
          <w:b w:val="false"/>
          <w:i w:val="false"/>
          <w:color w:val="000000"/>
          <w:sz w:val="28"/>
        </w:rPr>
        <w:t>
      6) меняется в случае существенных изменений рыночных условий и (или) уровня финансовой устойчивости банка.</w:t>
      </w:r>
    </w:p>
    <w:bookmarkEnd w:id="148"/>
    <w:bookmarkStart w:name="z131" w:id="149"/>
    <w:p>
      <w:pPr>
        <w:spacing w:after="0"/>
        <w:ind w:left="0"/>
        <w:jc w:val="both"/>
      </w:pPr>
      <w:r>
        <w:rPr>
          <w:rFonts w:ascii="Times New Roman"/>
          <w:b w:val="false"/>
          <w:i w:val="false"/>
          <w:color w:val="000000"/>
          <w:sz w:val="28"/>
        </w:rPr>
        <w:t>
      14. В рамках стратегии риск-аппетита совет директоров банка формирует заявление риск-аппетита, которое устанавливает общее направление в отношении принимаемых банком рисков в рамках бюджетного планирования и операционной деятельности банка. Эффективное заявление риск-аппетита:</w:t>
      </w:r>
    </w:p>
    <w:bookmarkEnd w:id="149"/>
    <w:bookmarkStart w:name="z132" w:id="150"/>
    <w:p>
      <w:pPr>
        <w:spacing w:after="0"/>
        <w:ind w:left="0"/>
        <w:jc w:val="both"/>
      </w:pPr>
      <w:r>
        <w:rPr>
          <w:rFonts w:ascii="Times New Roman"/>
          <w:b w:val="false"/>
          <w:i w:val="false"/>
          <w:color w:val="000000"/>
          <w:sz w:val="28"/>
        </w:rPr>
        <w:t>
      1) формируется с учетом стратегии банка;</w:t>
      </w:r>
    </w:p>
    <w:bookmarkEnd w:id="150"/>
    <w:bookmarkStart w:name="z133" w:id="151"/>
    <w:p>
      <w:pPr>
        <w:spacing w:after="0"/>
        <w:ind w:left="0"/>
        <w:jc w:val="both"/>
      </w:pPr>
      <w:r>
        <w:rPr>
          <w:rFonts w:ascii="Times New Roman"/>
          <w:b w:val="false"/>
          <w:i w:val="false"/>
          <w:color w:val="000000"/>
          <w:sz w:val="28"/>
        </w:rPr>
        <w:t>
      2) определяет по каждому существенному виду риска агрегированный (агрегированные) уровень (уровни) риск-аппетита, который (которые) банк принимает в своей деятельности с учетом риск-профиля;</w:t>
      </w:r>
    </w:p>
    <w:bookmarkEnd w:id="151"/>
    <w:bookmarkStart w:name="z134" w:id="152"/>
    <w:p>
      <w:pPr>
        <w:spacing w:after="0"/>
        <w:ind w:left="0"/>
        <w:jc w:val="both"/>
      </w:pPr>
      <w:r>
        <w:rPr>
          <w:rFonts w:ascii="Times New Roman"/>
          <w:b w:val="false"/>
          <w:i w:val="false"/>
          <w:color w:val="000000"/>
          <w:sz w:val="28"/>
        </w:rPr>
        <w:t>
      3) включает количественные показатели, которые используются для определения агрегированного (агрегированных) уровня (уровней) риск-аппетита по каждому существенному виду риска;</w:t>
      </w:r>
    </w:p>
    <w:bookmarkEnd w:id="152"/>
    <w:bookmarkStart w:name="z135" w:id="153"/>
    <w:p>
      <w:pPr>
        <w:spacing w:after="0"/>
        <w:ind w:left="0"/>
        <w:jc w:val="both"/>
      </w:pPr>
      <w:r>
        <w:rPr>
          <w:rFonts w:ascii="Times New Roman"/>
          <w:b w:val="false"/>
          <w:i w:val="false"/>
          <w:color w:val="000000"/>
          <w:sz w:val="28"/>
        </w:rPr>
        <w:t>
      4) включает заявление качественного характера, которое описывает основания принятия банком рисков, либо их исключения, включая репутационные и (или) иные риски, количественная оценка по которым не осуществима, а также устанавливает подходы, позволяющие их контролировать;</w:t>
      </w:r>
    </w:p>
    <w:bookmarkEnd w:id="153"/>
    <w:bookmarkStart w:name="z136" w:id="154"/>
    <w:p>
      <w:pPr>
        <w:spacing w:after="0"/>
        <w:ind w:left="0"/>
        <w:jc w:val="both"/>
      </w:pPr>
      <w:r>
        <w:rPr>
          <w:rFonts w:ascii="Times New Roman"/>
          <w:b w:val="false"/>
          <w:i w:val="false"/>
          <w:color w:val="000000"/>
          <w:sz w:val="28"/>
        </w:rPr>
        <w:t>
      5) подразумевает прогностический подход, учитывает результаты стресс-тестирования с целью выявления потенциальных событий, приводящих к нарушению уровней риск-аппетита.</w:t>
      </w:r>
    </w:p>
    <w:bookmarkEnd w:id="154"/>
    <w:bookmarkStart w:name="z137" w:id="155"/>
    <w:p>
      <w:pPr>
        <w:spacing w:after="0"/>
        <w:ind w:left="0"/>
        <w:jc w:val="both"/>
      </w:pPr>
      <w:r>
        <w:rPr>
          <w:rFonts w:ascii="Times New Roman"/>
          <w:b w:val="false"/>
          <w:i w:val="false"/>
          <w:color w:val="000000"/>
          <w:sz w:val="28"/>
        </w:rPr>
        <w:t>
      15. В целях определения риск-аппетита совет директоров банка устанавливает агрегированный (агрегированные) уровень (уровни) риск-аппетита и уровни риск-аппетита по каждому виду существенного риска.</w:t>
      </w:r>
    </w:p>
    <w:bookmarkEnd w:id="155"/>
    <w:bookmarkStart w:name="z138" w:id="156"/>
    <w:p>
      <w:pPr>
        <w:spacing w:after="0"/>
        <w:ind w:left="0"/>
        <w:jc w:val="both"/>
      </w:pPr>
      <w:r>
        <w:rPr>
          <w:rFonts w:ascii="Times New Roman"/>
          <w:b w:val="false"/>
          <w:i w:val="false"/>
          <w:color w:val="000000"/>
          <w:sz w:val="28"/>
        </w:rPr>
        <w:t>
      Применяемые уровни риск-аппетита соответствуют следующим требованиям:</w:t>
      </w:r>
    </w:p>
    <w:bookmarkEnd w:id="156"/>
    <w:bookmarkStart w:name="z139" w:id="157"/>
    <w:p>
      <w:pPr>
        <w:spacing w:after="0"/>
        <w:ind w:left="0"/>
        <w:jc w:val="both"/>
      </w:pPr>
      <w:r>
        <w:rPr>
          <w:rFonts w:ascii="Times New Roman"/>
          <w:b w:val="false"/>
          <w:i w:val="false"/>
          <w:color w:val="000000"/>
          <w:sz w:val="28"/>
        </w:rPr>
        <w:t>
      имеют четкое определение;</w:t>
      </w:r>
    </w:p>
    <w:bookmarkEnd w:id="157"/>
    <w:bookmarkStart w:name="z140" w:id="158"/>
    <w:p>
      <w:pPr>
        <w:spacing w:after="0"/>
        <w:ind w:left="0"/>
        <w:jc w:val="both"/>
      </w:pPr>
      <w:r>
        <w:rPr>
          <w:rFonts w:ascii="Times New Roman"/>
          <w:b w:val="false"/>
          <w:i w:val="false"/>
          <w:color w:val="000000"/>
          <w:sz w:val="28"/>
        </w:rPr>
        <w:t>
      являются релевантными;</w:t>
      </w:r>
    </w:p>
    <w:bookmarkEnd w:id="158"/>
    <w:bookmarkStart w:name="z141" w:id="159"/>
    <w:p>
      <w:pPr>
        <w:spacing w:after="0"/>
        <w:ind w:left="0"/>
        <w:jc w:val="both"/>
      </w:pPr>
      <w:r>
        <w:rPr>
          <w:rFonts w:ascii="Times New Roman"/>
          <w:b w:val="false"/>
          <w:i w:val="false"/>
          <w:color w:val="000000"/>
          <w:sz w:val="28"/>
        </w:rPr>
        <w:t>
      измеримы;</w:t>
      </w:r>
    </w:p>
    <w:bookmarkEnd w:id="159"/>
    <w:bookmarkStart w:name="z142" w:id="160"/>
    <w:p>
      <w:pPr>
        <w:spacing w:after="0"/>
        <w:ind w:left="0"/>
        <w:jc w:val="both"/>
      </w:pPr>
      <w:r>
        <w:rPr>
          <w:rFonts w:ascii="Times New Roman"/>
          <w:b w:val="false"/>
          <w:i w:val="false"/>
          <w:color w:val="000000"/>
          <w:sz w:val="28"/>
        </w:rPr>
        <w:t>
      рассчитываются на периодичной основе;</w:t>
      </w:r>
    </w:p>
    <w:bookmarkEnd w:id="160"/>
    <w:bookmarkStart w:name="z143" w:id="161"/>
    <w:p>
      <w:pPr>
        <w:spacing w:after="0"/>
        <w:ind w:left="0"/>
        <w:jc w:val="both"/>
      </w:pPr>
      <w:r>
        <w:rPr>
          <w:rFonts w:ascii="Times New Roman"/>
          <w:b w:val="false"/>
          <w:i w:val="false"/>
          <w:color w:val="000000"/>
          <w:sz w:val="28"/>
        </w:rPr>
        <w:t>
      информация о фактических значениях уровней риск-аппетита и их исполнении предоставляется совету директоров и комитету по вопросам управления рисками банка;</w:t>
      </w:r>
    </w:p>
    <w:bookmarkEnd w:id="161"/>
    <w:bookmarkStart w:name="z144" w:id="162"/>
    <w:p>
      <w:pPr>
        <w:spacing w:after="0"/>
        <w:ind w:left="0"/>
        <w:jc w:val="both"/>
      </w:pPr>
      <w:r>
        <w:rPr>
          <w:rFonts w:ascii="Times New Roman"/>
          <w:b w:val="false"/>
          <w:i w:val="false"/>
          <w:color w:val="000000"/>
          <w:sz w:val="28"/>
        </w:rPr>
        <w:t>
      разработаны с учетом прогностического подхода.</w:t>
      </w:r>
    </w:p>
    <w:bookmarkEnd w:id="162"/>
    <w:bookmarkStart w:name="z145" w:id="163"/>
    <w:p>
      <w:pPr>
        <w:spacing w:after="0"/>
        <w:ind w:left="0"/>
        <w:jc w:val="both"/>
      </w:pPr>
      <w:r>
        <w:rPr>
          <w:rFonts w:ascii="Times New Roman"/>
          <w:b w:val="false"/>
          <w:i w:val="false"/>
          <w:color w:val="000000"/>
          <w:sz w:val="28"/>
        </w:rPr>
        <w:t>
      16. Эффективные уровни риск-аппетита:</w:t>
      </w:r>
    </w:p>
    <w:bookmarkEnd w:id="163"/>
    <w:bookmarkStart w:name="z146" w:id="164"/>
    <w:p>
      <w:pPr>
        <w:spacing w:after="0"/>
        <w:ind w:left="0"/>
        <w:jc w:val="both"/>
      </w:pPr>
      <w:r>
        <w:rPr>
          <w:rFonts w:ascii="Times New Roman"/>
          <w:b w:val="false"/>
          <w:i w:val="false"/>
          <w:color w:val="000000"/>
          <w:sz w:val="28"/>
        </w:rPr>
        <w:t>
      1) устанавливаются на уровне, способствующим соблюдению банком агрегированного (агрегированных) уровня (уровней) риск-аппетита;</w:t>
      </w:r>
    </w:p>
    <w:bookmarkEnd w:id="164"/>
    <w:bookmarkStart w:name="z147" w:id="165"/>
    <w:p>
      <w:pPr>
        <w:spacing w:after="0"/>
        <w:ind w:left="0"/>
        <w:jc w:val="both"/>
      </w:pPr>
      <w:r>
        <w:rPr>
          <w:rFonts w:ascii="Times New Roman"/>
          <w:b w:val="false"/>
          <w:i w:val="false"/>
          <w:color w:val="000000"/>
          <w:sz w:val="28"/>
        </w:rPr>
        <w:t>
      2) учитывают имеющиеся капитал, ликвидность, доходность, стратегию развития;</w:t>
      </w:r>
    </w:p>
    <w:bookmarkEnd w:id="165"/>
    <w:bookmarkStart w:name="z148" w:id="166"/>
    <w:p>
      <w:pPr>
        <w:spacing w:after="0"/>
        <w:ind w:left="0"/>
        <w:jc w:val="both"/>
      </w:pPr>
      <w:r>
        <w:rPr>
          <w:rFonts w:ascii="Times New Roman"/>
          <w:b w:val="false"/>
          <w:i w:val="false"/>
          <w:color w:val="000000"/>
          <w:sz w:val="28"/>
        </w:rPr>
        <w:t>
      3) учитывают все существенные риски концентрации (концентрацию на клиента, на валюту, на страновой риск, на сегменты рынка и иные виды концентрации);</w:t>
      </w:r>
    </w:p>
    <w:bookmarkEnd w:id="166"/>
    <w:bookmarkStart w:name="z149" w:id="167"/>
    <w:p>
      <w:pPr>
        <w:spacing w:after="0"/>
        <w:ind w:left="0"/>
        <w:jc w:val="both"/>
      </w:pPr>
      <w:r>
        <w:rPr>
          <w:rFonts w:ascii="Times New Roman"/>
          <w:b w:val="false"/>
          <w:i w:val="false"/>
          <w:color w:val="000000"/>
          <w:sz w:val="28"/>
        </w:rPr>
        <w:t>
      4) основаны не только на применении лучших практик и (или) требованиях уполномоченного органа, но и учитывают присущие банку существенные риски;</w:t>
      </w:r>
    </w:p>
    <w:bookmarkEnd w:id="167"/>
    <w:bookmarkStart w:name="z150" w:id="168"/>
    <w:p>
      <w:pPr>
        <w:spacing w:after="0"/>
        <w:ind w:left="0"/>
        <w:jc w:val="both"/>
      </w:pPr>
      <w:r>
        <w:rPr>
          <w:rFonts w:ascii="Times New Roman"/>
          <w:b w:val="false"/>
          <w:i w:val="false"/>
          <w:color w:val="000000"/>
          <w:sz w:val="28"/>
        </w:rPr>
        <w:t>
      5) разработаны с применением объективных и понятных оценок, не двусмысленны;</w:t>
      </w:r>
    </w:p>
    <w:bookmarkEnd w:id="168"/>
    <w:bookmarkStart w:name="z151" w:id="169"/>
    <w:p>
      <w:pPr>
        <w:spacing w:after="0"/>
        <w:ind w:left="0"/>
        <w:jc w:val="both"/>
      </w:pPr>
      <w:r>
        <w:rPr>
          <w:rFonts w:ascii="Times New Roman"/>
          <w:b w:val="false"/>
          <w:i w:val="false"/>
          <w:color w:val="000000"/>
          <w:sz w:val="28"/>
        </w:rPr>
        <w:t>
      6) регулярно пересматриваются на актуальность;</w:t>
      </w:r>
    </w:p>
    <w:bookmarkEnd w:id="169"/>
    <w:bookmarkStart w:name="z152" w:id="170"/>
    <w:p>
      <w:pPr>
        <w:spacing w:after="0"/>
        <w:ind w:left="0"/>
        <w:jc w:val="both"/>
      </w:pPr>
      <w:r>
        <w:rPr>
          <w:rFonts w:ascii="Times New Roman"/>
          <w:b w:val="false"/>
          <w:i w:val="false"/>
          <w:color w:val="000000"/>
          <w:sz w:val="28"/>
        </w:rPr>
        <w:t>
      7) учитывают обоснованные допущения, подкрепленные результатами стресс-тестирования.</w:t>
      </w:r>
    </w:p>
    <w:bookmarkEnd w:id="170"/>
    <w:bookmarkStart w:name="z153" w:id="171"/>
    <w:p>
      <w:pPr>
        <w:spacing w:after="0"/>
        <w:ind w:left="0"/>
        <w:jc w:val="both"/>
      </w:pPr>
      <w:r>
        <w:rPr>
          <w:rFonts w:ascii="Times New Roman"/>
          <w:b w:val="false"/>
          <w:i w:val="false"/>
          <w:color w:val="000000"/>
          <w:sz w:val="28"/>
        </w:rPr>
        <w:t>
      17. Процедура определения уровней риск-аппетита содержит, но не ограничиваясь ими, следующие компоненты:</w:t>
      </w:r>
    </w:p>
    <w:bookmarkEnd w:id="171"/>
    <w:bookmarkStart w:name="z154" w:id="172"/>
    <w:p>
      <w:pPr>
        <w:spacing w:after="0"/>
        <w:ind w:left="0"/>
        <w:jc w:val="both"/>
      </w:pPr>
      <w:r>
        <w:rPr>
          <w:rFonts w:ascii="Times New Roman"/>
          <w:b w:val="false"/>
          <w:i w:val="false"/>
          <w:color w:val="000000"/>
          <w:sz w:val="28"/>
        </w:rPr>
        <w:t>
      1) внутренний порядок расчета и определения количественных и качественных параметров, характеризующих уровни риск-аппетита банка;</w:t>
      </w:r>
    </w:p>
    <w:bookmarkEnd w:id="172"/>
    <w:bookmarkStart w:name="z155" w:id="173"/>
    <w:p>
      <w:pPr>
        <w:spacing w:after="0"/>
        <w:ind w:left="0"/>
        <w:jc w:val="both"/>
      </w:pPr>
      <w:r>
        <w:rPr>
          <w:rFonts w:ascii="Times New Roman"/>
          <w:b w:val="false"/>
          <w:i w:val="false"/>
          <w:color w:val="000000"/>
          <w:sz w:val="28"/>
        </w:rPr>
        <w:t>
      2) информацию и материалы, методы и инструментарий, используемые для расчета и определения уровней риск-аппетита;</w:t>
      </w:r>
    </w:p>
    <w:bookmarkEnd w:id="173"/>
    <w:bookmarkStart w:name="z156" w:id="174"/>
    <w:p>
      <w:pPr>
        <w:spacing w:after="0"/>
        <w:ind w:left="0"/>
        <w:jc w:val="both"/>
      </w:pPr>
      <w:r>
        <w:rPr>
          <w:rFonts w:ascii="Times New Roman"/>
          <w:b w:val="false"/>
          <w:i w:val="false"/>
          <w:color w:val="000000"/>
          <w:sz w:val="28"/>
        </w:rPr>
        <w:t>
      3) ответственных лиц и (или) подразделений банка, участвующих в расчете и определении уровней риск-аппетита банка и ответственных за контроль и мониторинг установленных уровней риск-аппетита;</w:t>
      </w:r>
    </w:p>
    <w:bookmarkEnd w:id="174"/>
    <w:bookmarkStart w:name="z157" w:id="175"/>
    <w:p>
      <w:pPr>
        <w:spacing w:after="0"/>
        <w:ind w:left="0"/>
        <w:jc w:val="both"/>
      </w:pPr>
      <w:r>
        <w:rPr>
          <w:rFonts w:ascii="Times New Roman"/>
          <w:b w:val="false"/>
          <w:i w:val="false"/>
          <w:color w:val="000000"/>
          <w:sz w:val="28"/>
        </w:rPr>
        <w:t>
      4) условия, при которых вносится корректировка в утвержденные уровни риск-аппетита.</w:t>
      </w:r>
    </w:p>
    <w:bookmarkEnd w:id="175"/>
    <w:bookmarkStart w:name="z158" w:id="176"/>
    <w:p>
      <w:pPr>
        <w:spacing w:after="0"/>
        <w:ind w:left="0"/>
        <w:jc w:val="both"/>
      </w:pPr>
      <w:r>
        <w:rPr>
          <w:rFonts w:ascii="Times New Roman"/>
          <w:b w:val="false"/>
          <w:i w:val="false"/>
          <w:color w:val="000000"/>
          <w:sz w:val="28"/>
        </w:rPr>
        <w:t>
      Количественные методы, применяемые при установлении уровней риск-аппетита, обеспечивают высокую степень надежности оценки уровня рисков.</w:t>
      </w:r>
    </w:p>
    <w:bookmarkEnd w:id="176"/>
    <w:bookmarkStart w:name="z159" w:id="177"/>
    <w:p>
      <w:pPr>
        <w:spacing w:after="0"/>
        <w:ind w:left="0"/>
        <w:jc w:val="both"/>
      </w:pPr>
      <w:r>
        <w:rPr>
          <w:rFonts w:ascii="Times New Roman"/>
          <w:b w:val="false"/>
          <w:i w:val="false"/>
          <w:color w:val="000000"/>
          <w:sz w:val="28"/>
        </w:rPr>
        <w:t>
      18. Уровни риск-аппетита включают следующие пределы уровня рисков:</w:t>
      </w:r>
    </w:p>
    <w:bookmarkEnd w:id="177"/>
    <w:bookmarkStart w:name="z160" w:id="178"/>
    <w:p>
      <w:pPr>
        <w:spacing w:after="0"/>
        <w:ind w:left="0"/>
        <w:jc w:val="both"/>
      </w:pPr>
      <w:r>
        <w:rPr>
          <w:rFonts w:ascii="Times New Roman"/>
          <w:b w:val="false"/>
          <w:i w:val="false"/>
          <w:color w:val="000000"/>
          <w:sz w:val="28"/>
        </w:rPr>
        <w:t>
      1) уровень, не требующий применения корректирующих мер;</w:t>
      </w:r>
    </w:p>
    <w:bookmarkEnd w:id="178"/>
    <w:bookmarkStart w:name="z161" w:id="179"/>
    <w:p>
      <w:pPr>
        <w:spacing w:after="0"/>
        <w:ind w:left="0"/>
        <w:jc w:val="both"/>
      </w:pPr>
      <w:r>
        <w:rPr>
          <w:rFonts w:ascii="Times New Roman"/>
          <w:b w:val="false"/>
          <w:i w:val="false"/>
          <w:color w:val="000000"/>
          <w:sz w:val="28"/>
        </w:rPr>
        <w:t>
      2) уровень, определенный как допустимый, но требующий отдельных корректирующих мер в действующих процедурах системы управления рисками с целью снижения уровня риска;</w:t>
      </w:r>
    </w:p>
    <w:bookmarkEnd w:id="179"/>
    <w:bookmarkStart w:name="z162" w:id="180"/>
    <w:p>
      <w:pPr>
        <w:spacing w:after="0"/>
        <w:ind w:left="0"/>
        <w:jc w:val="both"/>
      </w:pPr>
      <w:r>
        <w:rPr>
          <w:rFonts w:ascii="Times New Roman"/>
          <w:b w:val="false"/>
          <w:i w:val="false"/>
          <w:color w:val="000000"/>
          <w:sz w:val="28"/>
        </w:rPr>
        <w:t>
      3) уровень, определенный как высокий, требующий применения соответствующих мер с целью не допущения ухудшения финансовой устойчивости банка и его платежеспособности.</w:t>
      </w:r>
    </w:p>
    <w:bookmarkEnd w:id="180"/>
    <w:bookmarkStart w:name="z163" w:id="181"/>
    <w:p>
      <w:pPr>
        <w:spacing w:after="0"/>
        <w:ind w:left="0"/>
        <w:jc w:val="both"/>
      </w:pPr>
      <w:r>
        <w:rPr>
          <w:rFonts w:ascii="Times New Roman"/>
          <w:b w:val="false"/>
          <w:i w:val="false"/>
          <w:color w:val="000000"/>
          <w:sz w:val="28"/>
        </w:rPr>
        <w:t>
      При определении риск-аппетита банк проводит оценку приемлемости установленного риск-аппетита в текущий период времени и насколько он будет приемлем в будущем посредством проведения стресс-тестирования (сценарного анализа и анализа чувствительности).</w:t>
      </w:r>
    </w:p>
    <w:bookmarkEnd w:id="181"/>
    <w:bookmarkStart w:name="z164" w:id="182"/>
    <w:p>
      <w:pPr>
        <w:spacing w:after="0"/>
        <w:ind w:left="0"/>
        <w:jc w:val="both"/>
      </w:pPr>
      <w:r>
        <w:rPr>
          <w:rFonts w:ascii="Times New Roman"/>
          <w:b w:val="false"/>
          <w:i w:val="false"/>
          <w:color w:val="000000"/>
          <w:sz w:val="28"/>
        </w:rPr>
        <w:t>
      В случае выявления существенных рисков, описание которых отсутствует в риск-профиле, банк оценивает уровень риска, дорабатывает соответствующие процедуры для включения таких рисков в риск-профиль, определяет уровень риск-аппетита и разрабатывает меры по предотвращению и (или) минимизации выявленного риска.</w:t>
      </w:r>
    </w:p>
    <w:bookmarkEnd w:id="182"/>
    <w:bookmarkStart w:name="z165" w:id="183"/>
    <w:p>
      <w:pPr>
        <w:spacing w:after="0"/>
        <w:ind w:left="0"/>
        <w:jc w:val="both"/>
      </w:pPr>
      <w:r>
        <w:rPr>
          <w:rFonts w:ascii="Times New Roman"/>
          <w:b w:val="false"/>
          <w:i w:val="false"/>
          <w:color w:val="000000"/>
          <w:sz w:val="28"/>
        </w:rPr>
        <w:t>
      Агрегированный (агрегированные) уровень (уровни) риск-аппетита устанавливается (устанавливаются) и пересматривается (пересматриваются) на периодической основе. Уровни риск-аппетита по отдельным видам риска пересматриваются в течение года при изменении ситуации на рынке и (или) изменении требований уполномоченного органа, но в рамках агрегированного уровня риск-аппетита.</w:t>
      </w:r>
    </w:p>
    <w:bookmarkEnd w:id="183"/>
    <w:bookmarkStart w:name="z166" w:id="184"/>
    <w:p>
      <w:pPr>
        <w:spacing w:after="0"/>
        <w:ind w:left="0"/>
        <w:jc w:val="left"/>
      </w:pPr>
      <w:r>
        <w:rPr>
          <w:rFonts w:ascii="Times New Roman"/>
          <w:b/>
          <w:i w:val="false"/>
          <w:color w:val="000000"/>
        </w:rPr>
        <w:t xml:space="preserve"> Глава 4. Корпоративное управление</w:t>
      </w:r>
    </w:p>
    <w:bookmarkEnd w:id="184"/>
    <w:bookmarkStart w:name="z167" w:id="185"/>
    <w:p>
      <w:pPr>
        <w:spacing w:after="0"/>
        <w:ind w:left="0"/>
        <w:jc w:val="both"/>
      </w:pPr>
      <w:r>
        <w:rPr>
          <w:rFonts w:ascii="Times New Roman"/>
          <w:b w:val="false"/>
          <w:i w:val="false"/>
          <w:color w:val="000000"/>
          <w:sz w:val="28"/>
        </w:rPr>
        <w:t>
      19. Основными элементами эффективной системы корпоративного управления являются:</w:t>
      </w:r>
    </w:p>
    <w:bookmarkEnd w:id="185"/>
    <w:bookmarkStart w:name="z4006" w:id="186"/>
    <w:p>
      <w:pPr>
        <w:spacing w:after="0"/>
        <w:ind w:left="0"/>
        <w:jc w:val="both"/>
      </w:pPr>
      <w:r>
        <w:rPr>
          <w:rFonts w:ascii="Times New Roman"/>
          <w:b w:val="false"/>
          <w:i w:val="false"/>
          <w:color w:val="000000"/>
          <w:sz w:val="28"/>
        </w:rPr>
        <w:t>
      1) организационная структура;</w:t>
      </w:r>
    </w:p>
    <w:bookmarkEnd w:id="186"/>
    <w:bookmarkStart w:name="z4007" w:id="187"/>
    <w:p>
      <w:pPr>
        <w:spacing w:after="0"/>
        <w:ind w:left="0"/>
        <w:jc w:val="both"/>
      </w:pPr>
      <w:r>
        <w:rPr>
          <w:rFonts w:ascii="Times New Roman"/>
          <w:b w:val="false"/>
          <w:i w:val="false"/>
          <w:color w:val="000000"/>
          <w:sz w:val="28"/>
        </w:rPr>
        <w:t>
      2) корпоративные ценности;</w:t>
      </w:r>
    </w:p>
    <w:bookmarkEnd w:id="187"/>
    <w:bookmarkStart w:name="z4008" w:id="188"/>
    <w:p>
      <w:pPr>
        <w:spacing w:after="0"/>
        <w:ind w:left="0"/>
        <w:jc w:val="both"/>
      </w:pPr>
      <w:r>
        <w:rPr>
          <w:rFonts w:ascii="Times New Roman"/>
          <w:b w:val="false"/>
          <w:i w:val="false"/>
          <w:color w:val="000000"/>
          <w:sz w:val="28"/>
        </w:rPr>
        <w:t>
      3) стратегия деятельности банка;</w:t>
      </w:r>
    </w:p>
    <w:bookmarkEnd w:id="188"/>
    <w:bookmarkStart w:name="z4009" w:id="189"/>
    <w:p>
      <w:pPr>
        <w:spacing w:after="0"/>
        <w:ind w:left="0"/>
        <w:jc w:val="both"/>
      </w:pPr>
      <w:r>
        <w:rPr>
          <w:rFonts w:ascii="Times New Roman"/>
          <w:b w:val="false"/>
          <w:i w:val="false"/>
          <w:color w:val="000000"/>
          <w:sz w:val="28"/>
        </w:rPr>
        <w:t>
      4) распределение обязанностей и полномочий в части принятия решений между уполномоченными органами банка;</w:t>
      </w:r>
    </w:p>
    <w:bookmarkEnd w:id="189"/>
    <w:bookmarkStart w:name="z4010" w:id="190"/>
    <w:p>
      <w:pPr>
        <w:spacing w:after="0"/>
        <w:ind w:left="0"/>
        <w:jc w:val="both"/>
      </w:pPr>
      <w:r>
        <w:rPr>
          <w:rFonts w:ascii="Times New Roman"/>
          <w:b w:val="false"/>
          <w:i w:val="false"/>
          <w:color w:val="000000"/>
          <w:sz w:val="28"/>
        </w:rPr>
        <w:t>
      5) механизмы взаимодействия и сотрудничества между членами совета директоров,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внешними и внутренними аудиторами банка;</w:t>
      </w:r>
    </w:p>
    <w:bookmarkEnd w:id="190"/>
    <w:bookmarkStart w:name="z4011" w:id="191"/>
    <w:p>
      <w:pPr>
        <w:spacing w:after="0"/>
        <w:ind w:left="0"/>
        <w:jc w:val="both"/>
      </w:pPr>
      <w:r>
        <w:rPr>
          <w:rFonts w:ascii="Times New Roman"/>
          <w:b w:val="false"/>
          <w:i w:val="false"/>
          <w:color w:val="000000"/>
          <w:sz w:val="28"/>
        </w:rPr>
        <w:t>
      6) процедуры и методики управления рисками;</w:t>
      </w:r>
    </w:p>
    <w:bookmarkEnd w:id="191"/>
    <w:bookmarkStart w:name="z4012" w:id="192"/>
    <w:p>
      <w:pPr>
        <w:spacing w:after="0"/>
        <w:ind w:left="0"/>
        <w:jc w:val="both"/>
      </w:pPr>
      <w:r>
        <w:rPr>
          <w:rFonts w:ascii="Times New Roman"/>
          <w:b w:val="false"/>
          <w:i w:val="false"/>
          <w:color w:val="000000"/>
          <w:sz w:val="28"/>
        </w:rPr>
        <w:t>
      7) система внутреннего контроля;</w:t>
      </w:r>
    </w:p>
    <w:bookmarkEnd w:id="192"/>
    <w:bookmarkStart w:name="z4013" w:id="193"/>
    <w:p>
      <w:pPr>
        <w:spacing w:after="0"/>
        <w:ind w:left="0"/>
        <w:jc w:val="both"/>
      </w:pPr>
      <w:r>
        <w:rPr>
          <w:rFonts w:ascii="Times New Roman"/>
          <w:b w:val="false"/>
          <w:i w:val="false"/>
          <w:color w:val="000000"/>
          <w:sz w:val="28"/>
        </w:rPr>
        <w:t>
      8) система вознаграждения;</w:t>
      </w:r>
    </w:p>
    <w:bookmarkEnd w:id="193"/>
    <w:bookmarkStart w:name="z4014" w:id="194"/>
    <w:p>
      <w:pPr>
        <w:spacing w:after="0"/>
        <w:ind w:left="0"/>
        <w:jc w:val="both"/>
      </w:pPr>
      <w:r>
        <w:rPr>
          <w:rFonts w:ascii="Times New Roman"/>
          <w:b w:val="false"/>
          <w:i w:val="false"/>
          <w:color w:val="000000"/>
          <w:sz w:val="28"/>
        </w:rPr>
        <w:t>
      9) наличие адекватной системы управленческой отчетности;</w:t>
      </w:r>
    </w:p>
    <w:bookmarkEnd w:id="194"/>
    <w:bookmarkStart w:name="z4015" w:id="195"/>
    <w:p>
      <w:pPr>
        <w:spacing w:after="0"/>
        <w:ind w:left="0"/>
        <w:jc w:val="both"/>
      </w:pPr>
      <w:r>
        <w:rPr>
          <w:rFonts w:ascii="Times New Roman"/>
          <w:b w:val="false"/>
          <w:i w:val="false"/>
          <w:color w:val="000000"/>
          <w:sz w:val="28"/>
        </w:rPr>
        <w:t>
      10) прозрачность корпоративного управления.</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Организационная структура банка соответствует выбранной бизнес-модели, масштабу деятельности, видам и сложности операций, минимизирует конфликт интересов и распределяет полномочия по управлению рисками между коллегиальными органами и структурными подразделениями, включая, но не ограничиваясь:</w:t>
      </w:r>
    </w:p>
    <w:bookmarkEnd w:id="196"/>
    <w:bookmarkStart w:name="z2348" w:id="197"/>
    <w:p>
      <w:pPr>
        <w:spacing w:after="0"/>
        <w:ind w:left="0"/>
        <w:jc w:val="both"/>
      </w:pPr>
      <w:r>
        <w:rPr>
          <w:rFonts w:ascii="Times New Roman"/>
          <w:b w:val="false"/>
          <w:i w:val="false"/>
          <w:color w:val="000000"/>
          <w:sz w:val="28"/>
        </w:rPr>
        <w:t>
      1) совет директоров банка;</w:t>
      </w:r>
    </w:p>
    <w:bookmarkEnd w:id="197"/>
    <w:bookmarkStart w:name="z2349" w:id="198"/>
    <w:p>
      <w:pPr>
        <w:spacing w:after="0"/>
        <w:ind w:left="0"/>
        <w:jc w:val="both"/>
      </w:pPr>
      <w:r>
        <w:rPr>
          <w:rFonts w:ascii="Times New Roman"/>
          <w:b w:val="false"/>
          <w:i w:val="false"/>
          <w:color w:val="000000"/>
          <w:sz w:val="28"/>
        </w:rPr>
        <w:t>
      2) комитеты при совете директоров банка;</w:t>
      </w:r>
    </w:p>
    <w:bookmarkEnd w:id="198"/>
    <w:bookmarkStart w:name="z2350" w:id="199"/>
    <w:p>
      <w:pPr>
        <w:spacing w:after="0"/>
        <w:ind w:left="0"/>
        <w:jc w:val="both"/>
      </w:pPr>
      <w:r>
        <w:rPr>
          <w:rFonts w:ascii="Times New Roman"/>
          <w:b w:val="false"/>
          <w:i w:val="false"/>
          <w:color w:val="000000"/>
          <w:sz w:val="28"/>
        </w:rPr>
        <w:t>
      3) правление банка (соответствующий исполнительный орган банка - нерезидента Республики Казахстан, филиал которого открыт на территории Республики Казахстан, руководящие работники филиала банка-нерезидента Республики Казахстан);</w:t>
      </w:r>
    </w:p>
    <w:bookmarkEnd w:id="199"/>
    <w:bookmarkStart w:name="z2351" w:id="200"/>
    <w:p>
      <w:pPr>
        <w:spacing w:after="0"/>
        <w:ind w:left="0"/>
        <w:jc w:val="both"/>
      </w:pPr>
      <w:r>
        <w:rPr>
          <w:rFonts w:ascii="Times New Roman"/>
          <w:b w:val="false"/>
          <w:i w:val="false"/>
          <w:color w:val="000000"/>
          <w:sz w:val="28"/>
        </w:rPr>
        <w:t>
      4) подразделение (подразделения) по управлению рисками;</w:t>
      </w:r>
    </w:p>
    <w:bookmarkEnd w:id="200"/>
    <w:bookmarkStart w:name="z2352" w:id="201"/>
    <w:p>
      <w:pPr>
        <w:spacing w:after="0"/>
        <w:ind w:left="0"/>
        <w:jc w:val="both"/>
      </w:pPr>
      <w:r>
        <w:rPr>
          <w:rFonts w:ascii="Times New Roman"/>
          <w:b w:val="false"/>
          <w:i w:val="false"/>
          <w:color w:val="000000"/>
          <w:sz w:val="28"/>
        </w:rPr>
        <w:t>
      5) подразделение по комплаенс-контролю;</w:t>
      </w:r>
    </w:p>
    <w:bookmarkEnd w:id="201"/>
    <w:bookmarkStart w:name="z2353" w:id="202"/>
    <w:p>
      <w:pPr>
        <w:spacing w:after="0"/>
        <w:ind w:left="0"/>
        <w:jc w:val="both"/>
      </w:pPr>
      <w:r>
        <w:rPr>
          <w:rFonts w:ascii="Times New Roman"/>
          <w:b w:val="false"/>
          <w:i w:val="false"/>
          <w:color w:val="000000"/>
          <w:sz w:val="28"/>
        </w:rPr>
        <w:t>
      6) подразделение внутреннего аудита;</w:t>
      </w:r>
    </w:p>
    <w:bookmarkEnd w:id="202"/>
    <w:bookmarkStart w:name="z2354" w:id="203"/>
    <w:p>
      <w:pPr>
        <w:spacing w:after="0"/>
        <w:ind w:left="0"/>
        <w:jc w:val="both"/>
      </w:pPr>
      <w:r>
        <w:rPr>
          <w:rFonts w:ascii="Times New Roman"/>
          <w:b w:val="false"/>
          <w:i w:val="false"/>
          <w:color w:val="000000"/>
          <w:sz w:val="28"/>
        </w:rPr>
        <w:t>
      7) подразделение, выполняющее функции залоговой службы, в том числе залоговая служба на основе аутсорсинга (за исключением случаев, когда стратегия банка не предусматривает предоставление кредитов под залоговое обеспечение и в текущем портфеле банка отсутствуют займы, выданные под залоговое обеспечение) (далее – подразделение залоговой службы).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p>
    <w:bookmarkStart w:name="z185" w:id="204"/>
    <w:p>
      <w:pPr>
        <w:spacing w:after="0"/>
        <w:ind w:left="0"/>
        <w:jc w:val="both"/>
      </w:pPr>
      <w:r>
        <w:rPr>
          <w:rFonts w:ascii="Times New Roman"/>
          <w:b w:val="false"/>
          <w:i w:val="false"/>
          <w:color w:val="000000"/>
          <w:sz w:val="28"/>
        </w:rPr>
        <w:t>
      21. К основным принципам и обязанностям совета директоров банка относятся:</w:t>
      </w:r>
    </w:p>
    <w:bookmarkEnd w:id="204"/>
    <w:bookmarkStart w:name="z4532" w:id="205"/>
    <w:p>
      <w:pPr>
        <w:spacing w:after="0"/>
        <w:ind w:left="0"/>
        <w:jc w:val="both"/>
      </w:pPr>
      <w:r>
        <w:rPr>
          <w:rFonts w:ascii="Times New Roman"/>
          <w:b w:val="false"/>
          <w:i w:val="false"/>
          <w:color w:val="000000"/>
          <w:sz w:val="28"/>
        </w:rPr>
        <w:t>
      1)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(дьюти оф кэр). Обязанность проявлять осмотрительность и заботливость не распространяется на ошибки в процессе принятия бизнес-решений, если только члены совета директоров не проявили при этом грубую небрежность;</w:t>
      </w:r>
    </w:p>
    <w:bookmarkEnd w:id="205"/>
    <w:bookmarkStart w:name="z4533" w:id="206"/>
    <w:p>
      <w:pPr>
        <w:spacing w:after="0"/>
        <w:ind w:left="0"/>
        <w:jc w:val="both"/>
      </w:pPr>
      <w:r>
        <w:rPr>
          <w:rFonts w:ascii="Times New Roman"/>
          <w:b w:val="false"/>
          <w:i w:val="false"/>
          <w:color w:val="000000"/>
          <w:sz w:val="28"/>
        </w:rPr>
        <w:t>
      2) принятие решений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 (дьюти оф лоялти);</w:t>
      </w:r>
    </w:p>
    <w:bookmarkEnd w:id="206"/>
    <w:bookmarkStart w:name="z4534" w:id="207"/>
    <w:p>
      <w:pPr>
        <w:spacing w:after="0"/>
        <w:ind w:left="0"/>
        <w:jc w:val="both"/>
      </w:pPr>
      <w:r>
        <w:rPr>
          <w:rFonts w:ascii="Times New Roman"/>
          <w:b w:val="false"/>
          <w:i w:val="false"/>
          <w:color w:val="000000"/>
          <w:sz w:val="28"/>
        </w:rPr>
        <w:t>
      3) активное вовлечение в деятельность банка и осведомленность о существенных изменениях деятельности банка и внешних условий, а также принятие своевременных решений, направленных на защиту интересов банка в долгосрочной перспективе;</w:t>
      </w:r>
    </w:p>
    <w:bookmarkEnd w:id="207"/>
    <w:bookmarkStart w:name="z4535" w:id="208"/>
    <w:p>
      <w:pPr>
        <w:spacing w:after="0"/>
        <w:ind w:left="0"/>
        <w:jc w:val="both"/>
      </w:pPr>
      <w:r>
        <w:rPr>
          <w:rFonts w:ascii="Times New Roman"/>
          <w:b w:val="false"/>
          <w:i w:val="false"/>
          <w:color w:val="000000"/>
          <w:sz w:val="28"/>
        </w:rPr>
        <w:t>
      4) предварительное рассмотрение проекта кодекса корпоративного управления и (или) изменений к нему.</w:t>
      </w:r>
    </w:p>
    <w:bookmarkEnd w:id="208"/>
    <w:bookmarkStart w:name="z4536" w:id="209"/>
    <w:p>
      <w:pPr>
        <w:spacing w:after="0"/>
        <w:ind w:left="0"/>
        <w:jc w:val="both"/>
      </w:pPr>
      <w:r>
        <w:rPr>
          <w:rFonts w:ascii="Times New Roman"/>
          <w:b w:val="false"/>
          <w:i w:val="false"/>
          <w:color w:val="000000"/>
          <w:sz w:val="28"/>
        </w:rPr>
        <w:t>
      В рамках кодекса корпоративного управления разрабатывается процедура по управлению конфликтом интересов и механизмов ее реализации, а также контроль исполнения. Процедура содержит следующие компоненты:</w:t>
      </w:r>
    </w:p>
    <w:bookmarkEnd w:id="209"/>
    <w:bookmarkStart w:name="z4537" w:id="210"/>
    <w:p>
      <w:pPr>
        <w:spacing w:after="0"/>
        <w:ind w:left="0"/>
        <w:jc w:val="both"/>
      </w:pPr>
      <w:r>
        <w:rPr>
          <w:rFonts w:ascii="Times New Roman"/>
          <w:b w:val="false"/>
          <w:i w:val="false"/>
          <w:color w:val="000000"/>
          <w:sz w:val="28"/>
        </w:rPr>
        <w:t>
      механизм процедуры минимизации конфликта интересов в деятельности банка;</w:t>
      </w:r>
    </w:p>
    <w:bookmarkEnd w:id="210"/>
    <w:bookmarkStart w:name="z4538" w:id="211"/>
    <w:p>
      <w:pPr>
        <w:spacing w:after="0"/>
        <w:ind w:left="0"/>
        <w:jc w:val="both"/>
      </w:pPr>
      <w:r>
        <w:rPr>
          <w:rFonts w:ascii="Times New Roman"/>
          <w:b w:val="false"/>
          <w:i w:val="false"/>
          <w:color w:val="000000"/>
          <w:sz w:val="28"/>
        </w:rPr>
        <w:t>
      процесс одобрения, который проходит член совета директоров до того, как приступить к выполнению функций должностного лица в другой организации с целью предотвращения конфликта интересов;</w:t>
      </w:r>
    </w:p>
    <w:bookmarkEnd w:id="211"/>
    <w:bookmarkStart w:name="z4539" w:id="212"/>
    <w:p>
      <w:pPr>
        <w:spacing w:after="0"/>
        <w:ind w:left="0"/>
        <w:jc w:val="both"/>
      </w:pPr>
      <w:r>
        <w:rPr>
          <w:rFonts w:ascii="Times New Roman"/>
          <w:b w:val="false"/>
          <w:i w:val="false"/>
          <w:color w:val="000000"/>
          <w:sz w:val="28"/>
        </w:rPr>
        <w:t>
      обязанность членов совета директоров немедленно предоставлять информацию по любому вопросу, создавшему конфликт интересов или являющемуся потенциальной причиной его возникновения;</w:t>
      </w:r>
    </w:p>
    <w:bookmarkEnd w:id="212"/>
    <w:bookmarkStart w:name="z4540" w:id="213"/>
    <w:p>
      <w:pPr>
        <w:spacing w:after="0"/>
        <w:ind w:left="0"/>
        <w:jc w:val="both"/>
      </w:pPr>
      <w:r>
        <w:rPr>
          <w:rFonts w:ascii="Times New Roman"/>
          <w:b w:val="false"/>
          <w:i w:val="false"/>
          <w:color w:val="000000"/>
          <w:sz w:val="28"/>
        </w:rPr>
        <w:t>
      обязанность членов совета директоров воздержаться от голосования по вопросам, в рамках которых член совета директоров имеет конфликт интересов;</w:t>
      </w:r>
    </w:p>
    <w:bookmarkEnd w:id="213"/>
    <w:bookmarkStart w:name="z4541" w:id="214"/>
    <w:p>
      <w:pPr>
        <w:spacing w:after="0"/>
        <w:ind w:left="0"/>
        <w:jc w:val="both"/>
      </w:pPr>
      <w:r>
        <w:rPr>
          <w:rFonts w:ascii="Times New Roman"/>
          <w:b w:val="false"/>
          <w:i w:val="false"/>
          <w:color w:val="000000"/>
          <w:sz w:val="28"/>
        </w:rPr>
        <w:t>
      механизм реагирования совета директоров на нарушения положений процедуры.</w:t>
      </w:r>
    </w:p>
    <w:bookmarkEnd w:id="214"/>
    <w:bookmarkStart w:name="z4542" w:id="215"/>
    <w:p>
      <w:pPr>
        <w:spacing w:after="0"/>
        <w:ind w:left="0"/>
        <w:jc w:val="both"/>
      </w:pPr>
      <w:r>
        <w:rPr>
          <w:rFonts w:ascii="Times New Roman"/>
          <w:b w:val="false"/>
          <w:i w:val="false"/>
          <w:color w:val="000000"/>
          <w:sz w:val="28"/>
        </w:rPr>
        <w:t>
      В рамках кодекса корпоративного управления разрабатываются процедуры, посредством которых работники банка конфиденциально сообщают о нарушениях, касающихся деятельности банка;</w:t>
      </w:r>
    </w:p>
    <w:bookmarkEnd w:id="215"/>
    <w:bookmarkStart w:name="z4543" w:id="216"/>
    <w:p>
      <w:pPr>
        <w:spacing w:after="0"/>
        <w:ind w:left="0"/>
        <w:jc w:val="both"/>
      </w:pPr>
      <w:r>
        <w:rPr>
          <w:rFonts w:ascii="Times New Roman"/>
          <w:b w:val="false"/>
          <w:i w:val="false"/>
          <w:color w:val="000000"/>
          <w:sz w:val="28"/>
        </w:rPr>
        <w:t>
      5) обеспечение соответствия системы корпоративного управления банка следующим принципам:</w:t>
      </w:r>
    </w:p>
    <w:bookmarkEnd w:id="216"/>
    <w:bookmarkStart w:name="z4544" w:id="217"/>
    <w:p>
      <w:pPr>
        <w:spacing w:after="0"/>
        <w:ind w:left="0"/>
        <w:jc w:val="both"/>
      </w:pPr>
      <w:r>
        <w:rPr>
          <w:rFonts w:ascii="Times New Roman"/>
          <w:b w:val="false"/>
          <w:i w:val="false"/>
          <w:color w:val="000000"/>
          <w:sz w:val="28"/>
        </w:rPr>
        <w:t>
      соответствие масштабу и характеру деятельности банка, его структуре, профилю рисков, бизнес-модели банка;</w:t>
      </w:r>
    </w:p>
    <w:bookmarkEnd w:id="217"/>
    <w:bookmarkStart w:name="z4545" w:id="218"/>
    <w:p>
      <w:pPr>
        <w:spacing w:after="0"/>
        <w:ind w:left="0"/>
        <w:jc w:val="both"/>
      </w:pPr>
      <w:r>
        <w:rPr>
          <w:rFonts w:ascii="Times New Roman"/>
          <w:b w:val="false"/>
          <w:i w:val="false"/>
          <w:color w:val="000000"/>
          <w:sz w:val="28"/>
        </w:rPr>
        <w:t>
      защита прав акционеров, предусмотренная в соответствии с гражданским, банковским законодательством Республики Казахстан, законодательством Республики Казахстан об акционерных обществах и поддержка реализации этих прав;</w:t>
      </w:r>
    </w:p>
    <w:bookmarkEnd w:id="218"/>
    <w:bookmarkStart w:name="z4546" w:id="219"/>
    <w:p>
      <w:pPr>
        <w:spacing w:after="0"/>
        <w:ind w:left="0"/>
        <w:jc w:val="both"/>
      </w:pPr>
      <w:r>
        <w:rPr>
          <w:rFonts w:ascii="Times New Roman"/>
          <w:b w:val="false"/>
          <w:i w:val="false"/>
          <w:color w:val="000000"/>
          <w:sz w:val="28"/>
        </w:rPr>
        <w:t>
      обеспечение своевременного и достоверного раскрытия информации в соответствии с банковским законодательством Республики Казахстан, законодательством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рынке ценных бумаг, о противодействии легализации (отмыванию) доходов, полученных преступным путем, и финансированию терроризма, об акционерных обществах;</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подпункта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48" w:id="220"/>
    <w:p>
      <w:pPr>
        <w:spacing w:after="0"/>
        <w:ind w:left="0"/>
        <w:jc w:val="both"/>
      </w:pPr>
      <w:r>
        <w:rPr>
          <w:rFonts w:ascii="Times New Roman"/>
          <w:b w:val="false"/>
          <w:i w:val="false"/>
          <w:color w:val="000000"/>
          <w:sz w:val="28"/>
        </w:rPr>
        <w:t>
      для выполнения своих обязанностей члены совета директоров имеют доступ к полной, актуальной и своевременной информации;</w:t>
      </w:r>
    </w:p>
    <w:bookmarkEnd w:id="220"/>
    <w:bookmarkStart w:name="z4549" w:id="221"/>
    <w:p>
      <w:pPr>
        <w:spacing w:after="0"/>
        <w:ind w:left="0"/>
        <w:jc w:val="both"/>
      </w:pPr>
      <w:r>
        <w:rPr>
          <w:rFonts w:ascii="Times New Roman"/>
          <w:b w:val="false"/>
          <w:i w:val="false"/>
          <w:color w:val="000000"/>
          <w:sz w:val="28"/>
        </w:rPr>
        <w:t>
      6) утверждение следующих внутренних документов и контроль их исполнения:</w:t>
      </w:r>
    </w:p>
    <w:bookmarkEnd w:id="221"/>
    <w:bookmarkStart w:name="z4550" w:id="222"/>
    <w:p>
      <w:pPr>
        <w:spacing w:after="0"/>
        <w:ind w:left="0"/>
        <w:jc w:val="both"/>
      </w:pPr>
      <w:r>
        <w:rPr>
          <w:rFonts w:ascii="Times New Roman"/>
          <w:b w:val="false"/>
          <w:i w:val="false"/>
          <w:color w:val="000000"/>
          <w:sz w:val="28"/>
        </w:rPr>
        <w:t>
      организационной структуры банка;</w:t>
      </w:r>
    </w:p>
    <w:bookmarkEnd w:id="222"/>
    <w:bookmarkStart w:name="z4551" w:id="223"/>
    <w:p>
      <w:pPr>
        <w:spacing w:after="0"/>
        <w:ind w:left="0"/>
        <w:jc w:val="both"/>
      </w:pPr>
      <w:r>
        <w:rPr>
          <w:rFonts w:ascii="Times New Roman"/>
          <w:b w:val="false"/>
          <w:i w:val="false"/>
          <w:color w:val="000000"/>
          <w:sz w:val="28"/>
        </w:rPr>
        <w:t>
      стратегии развития банка;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53" w:id="224"/>
    <w:p>
      <w:pPr>
        <w:spacing w:after="0"/>
        <w:ind w:left="0"/>
        <w:jc w:val="both"/>
      </w:pPr>
      <w:r>
        <w:rPr>
          <w:rFonts w:ascii="Times New Roman"/>
          <w:b w:val="false"/>
          <w:i w:val="false"/>
          <w:color w:val="000000"/>
          <w:sz w:val="28"/>
        </w:rPr>
        <w:t>
      политики управлению рентабельностью банка;</w:t>
      </w:r>
    </w:p>
    <w:bookmarkEnd w:id="224"/>
    <w:bookmarkStart w:name="z4554" w:id="225"/>
    <w:p>
      <w:pPr>
        <w:spacing w:after="0"/>
        <w:ind w:left="0"/>
        <w:jc w:val="both"/>
      </w:pPr>
      <w:r>
        <w:rPr>
          <w:rFonts w:ascii="Times New Roman"/>
          <w:b w:val="false"/>
          <w:i w:val="false"/>
          <w:color w:val="000000"/>
          <w:sz w:val="28"/>
        </w:rPr>
        <w:t>
      процедур и сценариев стресс-тестирования;</w:t>
      </w:r>
    </w:p>
    <w:bookmarkEnd w:id="225"/>
    <w:bookmarkStart w:name="z4555" w:id="226"/>
    <w:p>
      <w:pPr>
        <w:spacing w:after="0"/>
        <w:ind w:left="0"/>
        <w:jc w:val="both"/>
      </w:pPr>
      <w:r>
        <w:rPr>
          <w:rFonts w:ascii="Times New Roman"/>
          <w:b w:val="false"/>
          <w:i w:val="false"/>
          <w:color w:val="000000"/>
          <w:sz w:val="28"/>
        </w:rPr>
        <w:t>
      плана финансирования на случай непредвиденных ситуаций;</w:t>
      </w:r>
    </w:p>
    <w:bookmarkEnd w:id="226"/>
    <w:bookmarkStart w:name="z4556" w:id="227"/>
    <w:p>
      <w:pPr>
        <w:spacing w:after="0"/>
        <w:ind w:left="0"/>
        <w:jc w:val="both"/>
      </w:pPr>
      <w:r>
        <w:rPr>
          <w:rFonts w:ascii="Times New Roman"/>
          <w:b w:val="false"/>
          <w:i w:val="false"/>
          <w:color w:val="000000"/>
          <w:sz w:val="28"/>
        </w:rPr>
        <w:t>
      политики по управлению непрерывностью деятельности;</w:t>
      </w:r>
    </w:p>
    <w:bookmarkEnd w:id="227"/>
    <w:bookmarkStart w:name="z4557" w:id="228"/>
    <w:p>
      <w:pPr>
        <w:spacing w:after="0"/>
        <w:ind w:left="0"/>
        <w:jc w:val="both"/>
      </w:pPr>
      <w:r>
        <w:rPr>
          <w:rFonts w:ascii="Times New Roman"/>
          <w:b w:val="false"/>
          <w:i w:val="false"/>
          <w:color w:val="000000"/>
          <w:sz w:val="28"/>
        </w:rPr>
        <w:t>
      внутреннего порядка выплаты вознаграждений руководящим работникам банка и работникам банка, непосредственно подотчетным совету директоров банка;</w:t>
      </w:r>
    </w:p>
    <w:bookmarkEnd w:id="228"/>
    <w:bookmarkStart w:name="z4558" w:id="229"/>
    <w:p>
      <w:pPr>
        <w:spacing w:after="0"/>
        <w:ind w:left="0"/>
        <w:jc w:val="both"/>
      </w:pPr>
      <w:r>
        <w:rPr>
          <w:rFonts w:ascii="Times New Roman"/>
          <w:b w:val="false"/>
          <w:i w:val="false"/>
          <w:color w:val="000000"/>
          <w:sz w:val="28"/>
        </w:rPr>
        <w:t>
      кадровой политики;</w:t>
      </w:r>
    </w:p>
    <w:bookmarkEnd w:id="229"/>
    <w:bookmarkStart w:name="z4559" w:id="230"/>
    <w:p>
      <w:pPr>
        <w:spacing w:after="0"/>
        <w:ind w:left="0"/>
        <w:jc w:val="both"/>
      </w:pPr>
      <w:r>
        <w:rPr>
          <w:rFonts w:ascii="Times New Roman"/>
          <w:b w:val="false"/>
          <w:i w:val="false"/>
          <w:color w:val="000000"/>
          <w:sz w:val="28"/>
        </w:rPr>
        <w:t>
      политики по оплате труда;</w:t>
      </w:r>
    </w:p>
    <w:bookmarkEnd w:id="230"/>
    <w:bookmarkStart w:name="z4560" w:id="231"/>
    <w:p>
      <w:pPr>
        <w:spacing w:after="0"/>
        <w:ind w:left="0"/>
        <w:jc w:val="both"/>
      </w:pPr>
      <w:r>
        <w:rPr>
          <w:rFonts w:ascii="Times New Roman"/>
          <w:b w:val="false"/>
          <w:i w:val="false"/>
          <w:color w:val="000000"/>
          <w:sz w:val="28"/>
        </w:rPr>
        <w:t>
      учетной политики;</w:t>
      </w:r>
    </w:p>
    <w:bookmarkEnd w:id="231"/>
    <w:bookmarkStart w:name="z4561" w:id="232"/>
    <w:p>
      <w:pPr>
        <w:spacing w:after="0"/>
        <w:ind w:left="0"/>
        <w:jc w:val="both"/>
      </w:pPr>
      <w:r>
        <w:rPr>
          <w:rFonts w:ascii="Times New Roman"/>
          <w:b w:val="false"/>
          <w:i w:val="false"/>
          <w:color w:val="000000"/>
          <w:sz w:val="28"/>
        </w:rPr>
        <w:t>
      тарифной политики;</w:t>
      </w:r>
    </w:p>
    <w:bookmarkEnd w:id="232"/>
    <w:bookmarkStart w:name="z4562" w:id="233"/>
    <w:p>
      <w:pPr>
        <w:spacing w:after="0"/>
        <w:ind w:left="0"/>
        <w:jc w:val="both"/>
      </w:pPr>
      <w:r>
        <w:rPr>
          <w:rFonts w:ascii="Times New Roman"/>
          <w:b w:val="false"/>
          <w:i w:val="false"/>
          <w:color w:val="000000"/>
          <w:sz w:val="28"/>
        </w:rPr>
        <w:t>
      кредитной политики;</w:t>
      </w:r>
    </w:p>
    <w:bookmarkEnd w:id="233"/>
    <w:bookmarkStart w:name="z4563" w:id="234"/>
    <w:p>
      <w:pPr>
        <w:spacing w:after="0"/>
        <w:ind w:left="0"/>
        <w:jc w:val="both"/>
      </w:pPr>
      <w:r>
        <w:rPr>
          <w:rFonts w:ascii="Times New Roman"/>
          <w:b w:val="false"/>
          <w:i w:val="false"/>
          <w:color w:val="000000"/>
          <w:sz w:val="28"/>
        </w:rPr>
        <w:t>
      политики по проблемным активам;</w:t>
      </w:r>
    </w:p>
    <w:bookmarkEnd w:id="234"/>
    <w:bookmarkStart w:name="z4564" w:id="235"/>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капитала (далее - ВПОДК);</w:t>
      </w:r>
    </w:p>
    <w:bookmarkEnd w:id="235"/>
    <w:bookmarkStart w:name="z4565" w:id="236"/>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ликвидности (далее - ВПОДЛ);</w:t>
      </w:r>
    </w:p>
    <w:bookmarkEnd w:id="236"/>
    <w:bookmarkStart w:name="z4566" w:id="237"/>
    <w:p>
      <w:pPr>
        <w:spacing w:after="0"/>
        <w:ind w:left="0"/>
        <w:jc w:val="both"/>
      </w:pPr>
      <w:r>
        <w:rPr>
          <w:rFonts w:ascii="Times New Roman"/>
          <w:b w:val="false"/>
          <w:i w:val="false"/>
          <w:color w:val="000000"/>
          <w:sz w:val="28"/>
        </w:rPr>
        <w:t>
      политик (политики) управления рисками информационных технологий и информационной безопасности банка;</w:t>
      </w:r>
    </w:p>
    <w:bookmarkEnd w:id="237"/>
    <w:bookmarkStart w:name="z4567" w:id="238"/>
    <w:p>
      <w:pPr>
        <w:spacing w:after="0"/>
        <w:ind w:left="0"/>
        <w:jc w:val="both"/>
      </w:pPr>
      <w:r>
        <w:rPr>
          <w:rFonts w:ascii="Times New Roman"/>
          <w:b w:val="false"/>
          <w:i w:val="false"/>
          <w:color w:val="000000"/>
          <w:sz w:val="28"/>
        </w:rPr>
        <w:t>
      политики внутреннего контроля;</w:t>
      </w:r>
    </w:p>
    <w:bookmarkEnd w:id="238"/>
    <w:bookmarkStart w:name="z4568" w:id="239"/>
    <w:p>
      <w:pPr>
        <w:spacing w:after="0"/>
        <w:ind w:left="0"/>
        <w:jc w:val="both"/>
      </w:pPr>
      <w:r>
        <w:rPr>
          <w:rFonts w:ascii="Times New Roman"/>
          <w:b w:val="false"/>
          <w:i w:val="false"/>
          <w:color w:val="000000"/>
          <w:sz w:val="28"/>
        </w:rPr>
        <w:t>
      политики управления кредитным риском;</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двадцать первый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двадцать второй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571" w:id="240"/>
    <w:p>
      <w:pPr>
        <w:spacing w:after="0"/>
        <w:ind w:left="0"/>
        <w:jc w:val="both"/>
      </w:pPr>
      <w:r>
        <w:rPr>
          <w:rFonts w:ascii="Times New Roman"/>
          <w:b w:val="false"/>
          <w:i w:val="false"/>
          <w:color w:val="000000"/>
          <w:sz w:val="28"/>
        </w:rPr>
        <w:t>
      политики управления рыночным риском;</w:t>
      </w:r>
    </w:p>
    <w:bookmarkEnd w:id="240"/>
    <w:bookmarkStart w:name="z4572" w:id="241"/>
    <w:p>
      <w:pPr>
        <w:spacing w:after="0"/>
        <w:ind w:left="0"/>
        <w:jc w:val="both"/>
      </w:pPr>
      <w:r>
        <w:rPr>
          <w:rFonts w:ascii="Times New Roman"/>
          <w:b w:val="false"/>
          <w:i w:val="false"/>
          <w:color w:val="000000"/>
          <w:sz w:val="28"/>
        </w:rPr>
        <w:t>
      политики управления операционным риском;</w:t>
      </w:r>
    </w:p>
    <w:bookmarkEnd w:id="241"/>
    <w:bookmarkStart w:name="z4573" w:id="242"/>
    <w:p>
      <w:pPr>
        <w:spacing w:after="0"/>
        <w:ind w:left="0"/>
        <w:jc w:val="both"/>
      </w:pPr>
      <w:r>
        <w:rPr>
          <w:rFonts w:ascii="Times New Roman"/>
          <w:b w:val="false"/>
          <w:i w:val="false"/>
          <w:color w:val="000000"/>
          <w:sz w:val="28"/>
        </w:rPr>
        <w:t>
      политики управления комплаенс-риском;</w:t>
      </w:r>
    </w:p>
    <w:bookmarkEnd w:id="242"/>
    <w:bookmarkStart w:name="z4574" w:id="243"/>
    <w:p>
      <w:pPr>
        <w:spacing w:after="0"/>
        <w:ind w:left="0"/>
        <w:jc w:val="both"/>
      </w:pPr>
      <w:r>
        <w:rPr>
          <w:rFonts w:ascii="Times New Roman"/>
          <w:b w:val="false"/>
          <w:i w:val="false"/>
          <w:color w:val="000000"/>
          <w:sz w:val="28"/>
        </w:rPr>
        <w:t>
      политики управления риском легализации (отмывания) доходов, полученных преступным путем и финансирования терроризма (далее - ОД/ФТ);</w:t>
      </w:r>
    </w:p>
    <w:bookmarkEnd w:id="243"/>
    <w:bookmarkStart w:name="z4575" w:id="244"/>
    <w:p>
      <w:pPr>
        <w:spacing w:after="0"/>
        <w:ind w:left="0"/>
        <w:jc w:val="both"/>
      </w:pPr>
      <w:r>
        <w:rPr>
          <w:rFonts w:ascii="Times New Roman"/>
          <w:b w:val="false"/>
          <w:i w:val="false"/>
          <w:color w:val="000000"/>
          <w:sz w:val="28"/>
        </w:rPr>
        <w:t>
      залоговой политики;</w:t>
      </w:r>
    </w:p>
    <w:bookmarkEnd w:id="244"/>
    <w:bookmarkStart w:name="z4576" w:id="245"/>
    <w:p>
      <w:pPr>
        <w:spacing w:after="0"/>
        <w:ind w:left="0"/>
        <w:jc w:val="both"/>
      </w:pPr>
      <w:r>
        <w:rPr>
          <w:rFonts w:ascii="Times New Roman"/>
          <w:b w:val="false"/>
          <w:i w:val="false"/>
          <w:color w:val="000000"/>
          <w:sz w:val="28"/>
        </w:rPr>
        <w:t>
      политики управления ликвидностью;</w:t>
      </w:r>
    </w:p>
    <w:bookmarkEnd w:id="245"/>
    <w:bookmarkStart w:name="z4577" w:id="246"/>
    <w:p>
      <w:pPr>
        <w:spacing w:after="0"/>
        <w:ind w:left="0"/>
        <w:jc w:val="both"/>
      </w:pPr>
      <w:r>
        <w:rPr>
          <w:rFonts w:ascii="Times New Roman"/>
          <w:b w:val="false"/>
          <w:i w:val="false"/>
          <w:color w:val="000000"/>
          <w:sz w:val="28"/>
        </w:rPr>
        <w:t>
      политики внутреннего аудита, кодекса этики внутреннего аудитора, положения о подразделении внутреннего аудита, процедур осуществления внутреннего аудита, годового плана внутреннего аудита;</w:t>
      </w:r>
    </w:p>
    <w:bookmarkEnd w:id="246"/>
    <w:bookmarkStart w:name="z4578" w:id="247"/>
    <w:p>
      <w:pPr>
        <w:spacing w:after="0"/>
        <w:ind w:left="0"/>
        <w:jc w:val="both"/>
      </w:pPr>
      <w:r>
        <w:rPr>
          <w:rFonts w:ascii="Times New Roman"/>
          <w:b w:val="false"/>
          <w:i w:val="false"/>
          <w:color w:val="000000"/>
          <w:sz w:val="28"/>
        </w:rPr>
        <w:t>
      политики (процедур) привлечения внешнего аудитора;</w:t>
      </w:r>
    </w:p>
    <w:bookmarkEnd w:id="247"/>
    <w:bookmarkStart w:name="z4579" w:id="248"/>
    <w:p>
      <w:pPr>
        <w:spacing w:after="0"/>
        <w:ind w:left="0"/>
        <w:jc w:val="both"/>
      </w:pPr>
      <w:r>
        <w:rPr>
          <w:rFonts w:ascii="Times New Roman"/>
          <w:b w:val="false"/>
          <w:i w:val="false"/>
          <w:color w:val="000000"/>
          <w:sz w:val="28"/>
        </w:rPr>
        <w:t>
      7) утверждение стратегии риск-аппетита и уровней риск-аппетита банка;</w:t>
      </w:r>
    </w:p>
    <w:bookmarkEnd w:id="248"/>
    <w:bookmarkStart w:name="z4580" w:id="249"/>
    <w:p>
      <w:pPr>
        <w:spacing w:after="0"/>
        <w:ind w:left="0"/>
        <w:jc w:val="both"/>
      </w:pPr>
      <w:r>
        <w:rPr>
          <w:rFonts w:ascii="Times New Roman"/>
          <w:b w:val="false"/>
          <w:i w:val="false"/>
          <w:color w:val="000000"/>
          <w:sz w:val="28"/>
        </w:rPr>
        <w:t>
      8) осуществление контроля за соблюдением стратегии риск-аппетита, уровней риск-аппетита и политик по управлению рисками;</w:t>
      </w:r>
    </w:p>
    <w:bookmarkEnd w:id="249"/>
    <w:bookmarkStart w:name="z4581" w:id="250"/>
    <w:p>
      <w:pPr>
        <w:spacing w:after="0"/>
        <w:ind w:left="0"/>
        <w:jc w:val="both"/>
      </w:pPr>
      <w:r>
        <w:rPr>
          <w:rFonts w:ascii="Times New Roman"/>
          <w:b w:val="false"/>
          <w:i w:val="false"/>
          <w:color w:val="000000"/>
          <w:sz w:val="28"/>
        </w:rPr>
        <w:t>
      9) обеспечение наличия финансовой службы, ответственной за бухгалтерский учет и качественное составление финансовой отчетности;</w:t>
      </w:r>
    </w:p>
    <w:bookmarkEnd w:id="250"/>
    <w:bookmarkStart w:name="z4582" w:id="251"/>
    <w:p>
      <w:pPr>
        <w:spacing w:after="0"/>
        <w:ind w:left="0"/>
        <w:jc w:val="both"/>
      </w:pPr>
      <w:r>
        <w:rPr>
          <w:rFonts w:ascii="Times New Roman"/>
          <w:b w:val="false"/>
          <w:i w:val="false"/>
          <w:color w:val="000000"/>
          <w:sz w:val="28"/>
        </w:rPr>
        <w:t>
      10) предварительное утверждение годовой финансовой отчетности, заверенной аудиторской организацией, а также направление запроса на проведение периодических независимых проверок по необходимости;</w:t>
      </w:r>
    </w:p>
    <w:bookmarkEnd w:id="251"/>
    <w:bookmarkStart w:name="z4583" w:id="252"/>
    <w:p>
      <w:pPr>
        <w:spacing w:after="0"/>
        <w:ind w:left="0"/>
        <w:jc w:val="both"/>
      </w:pPr>
      <w:r>
        <w:rPr>
          <w:rFonts w:ascii="Times New Roman"/>
          <w:b w:val="false"/>
          <w:i w:val="false"/>
          <w:color w:val="000000"/>
          <w:sz w:val="28"/>
        </w:rPr>
        <w:t>
      11) избирать членов правления банка (членов соответствующего исполнительного органа банка-нерезидента Республики Казахстан, филиал которого открыт на территории Республики Казахстан), назначать главу риск-менеджмента, руководителя внутреннего аудита и главного комплаенс-контроллера;</w:t>
      </w:r>
    </w:p>
    <w:bookmarkEnd w:id="252"/>
    <w:bookmarkStart w:name="z4584" w:id="253"/>
    <w:p>
      <w:pPr>
        <w:spacing w:after="0"/>
        <w:ind w:left="0"/>
        <w:jc w:val="both"/>
      </w:pPr>
      <w:r>
        <w:rPr>
          <w:rFonts w:ascii="Times New Roman"/>
          <w:b w:val="false"/>
          <w:i w:val="false"/>
          <w:color w:val="000000"/>
          <w:sz w:val="28"/>
        </w:rPr>
        <w:t>
      12) рассмотрение отчетов, направляемых комитетом по аудиту, с последующим контролем устранения выявленных нарушений;</w:t>
      </w:r>
    </w:p>
    <w:bookmarkEnd w:id="253"/>
    <w:bookmarkStart w:name="z4585" w:id="254"/>
    <w:p>
      <w:pPr>
        <w:spacing w:after="0"/>
        <w:ind w:left="0"/>
        <w:jc w:val="both"/>
      </w:pPr>
      <w:r>
        <w:rPr>
          <w:rFonts w:ascii="Times New Roman"/>
          <w:b w:val="false"/>
          <w:i w:val="false"/>
          <w:color w:val="000000"/>
          <w:sz w:val="28"/>
        </w:rPr>
        <w:t>
      13) контроль за эффективным соблюдением процедур банка, посредством которых работники банка конфиденциально сообщают о нарушениях, касающихся деятельности банка и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о злоупотреблениях;</w:t>
      </w:r>
    </w:p>
    <w:bookmarkEnd w:id="254"/>
    <w:bookmarkStart w:name="z4586" w:id="255"/>
    <w:p>
      <w:pPr>
        <w:spacing w:after="0"/>
        <w:ind w:left="0"/>
        <w:jc w:val="both"/>
      </w:pPr>
      <w:r>
        <w:rPr>
          <w:rFonts w:ascii="Times New Roman"/>
          <w:b w:val="false"/>
          <w:i w:val="false"/>
          <w:color w:val="000000"/>
          <w:sz w:val="28"/>
        </w:rPr>
        <w:t>
      14) формирование в банке трех линий защиты:</w:t>
      </w:r>
    </w:p>
    <w:bookmarkEnd w:id="255"/>
    <w:bookmarkStart w:name="z4587" w:id="256"/>
    <w:p>
      <w:pPr>
        <w:spacing w:after="0"/>
        <w:ind w:left="0"/>
        <w:jc w:val="both"/>
      </w:pPr>
      <w:r>
        <w:rPr>
          <w:rFonts w:ascii="Times New Roman"/>
          <w:b w:val="false"/>
          <w:i w:val="false"/>
          <w:color w:val="000000"/>
          <w:sz w:val="28"/>
        </w:rPr>
        <w:t>
      первая линия защиты обеспечивается структурными подразделениями банка, ответственными за своевременное выявление, оценку рисков, доведение информации о них подразделениям второй линии защиты, а также управление рисками. Первая линия защиты совершает операции в рамках утвержденных уровней риск-аппетита банка и функционирует в рамках принятых политик управления рисками;</w:t>
      </w:r>
    </w:p>
    <w:bookmarkEnd w:id="256"/>
    <w:bookmarkStart w:name="z4588" w:id="257"/>
    <w:p>
      <w:pPr>
        <w:spacing w:after="0"/>
        <w:ind w:left="0"/>
        <w:jc w:val="both"/>
      </w:pPr>
      <w:r>
        <w:rPr>
          <w:rFonts w:ascii="Times New Roman"/>
          <w:b w:val="false"/>
          <w:i w:val="false"/>
          <w:color w:val="000000"/>
          <w:sz w:val="28"/>
        </w:rPr>
        <w:t>
      вторая линия защиты обеспечивается независимыми подразделениями по управлению рисками, комплаенс-контролю и другими подразделениями, осуществляющими контрольные функции (включая в рамках своей компетенции подразделения, осуществляющие функции безопасности, финансового контроля, кадрового обеспечения, управления юридическим риском, операционным риском). Подразделение (подразделения) по управлению рисками проводит комплексный анализ рисков в деятельности банка, формирует (формируют) необходимые отчеты совету директоров банка и комитету по вопросам управления рисками, способствует критической оценке и выявлению рисков членами правления и бизнес подразделениями.</w:t>
      </w:r>
    </w:p>
    <w:bookmarkEnd w:id="257"/>
    <w:bookmarkStart w:name="z4589" w:id="258"/>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комплаенс-рисков;</w:t>
      </w:r>
    </w:p>
    <w:bookmarkEnd w:id="258"/>
    <w:bookmarkStart w:name="z4590" w:id="259"/>
    <w:p>
      <w:pPr>
        <w:spacing w:after="0"/>
        <w:ind w:left="0"/>
        <w:jc w:val="both"/>
      </w:pPr>
      <w:r>
        <w:rPr>
          <w:rFonts w:ascii="Times New Roman"/>
          <w:b w:val="false"/>
          <w:i w:val="false"/>
          <w:color w:val="000000"/>
          <w:sz w:val="28"/>
        </w:rPr>
        <w:t>
      третья линия защиты обеспечивается независимым подразделением внутреннего аудита, ответственным за оценку качества и эффективности системы управления рисками и внутреннего контроля, первой и второй линий защиты;</w:t>
      </w:r>
    </w:p>
    <w:bookmarkEnd w:id="259"/>
    <w:bookmarkStart w:name="z4591" w:id="260"/>
    <w:p>
      <w:pPr>
        <w:spacing w:after="0"/>
        <w:ind w:left="0"/>
        <w:jc w:val="both"/>
      </w:pPr>
      <w:r>
        <w:rPr>
          <w:rFonts w:ascii="Times New Roman"/>
          <w:b w:val="false"/>
          <w:i w:val="false"/>
          <w:color w:val="000000"/>
          <w:sz w:val="28"/>
        </w:rPr>
        <w:t>
      15) осуществление контроля над деятельностью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путем:</w:t>
      </w:r>
    </w:p>
    <w:bookmarkEnd w:id="260"/>
    <w:bookmarkStart w:name="z4592" w:id="261"/>
    <w:p>
      <w:pPr>
        <w:spacing w:after="0"/>
        <w:ind w:left="0"/>
        <w:jc w:val="both"/>
      </w:pPr>
      <w:r>
        <w:rPr>
          <w:rFonts w:ascii="Times New Roman"/>
          <w:b w:val="false"/>
          <w:i w:val="false"/>
          <w:color w:val="000000"/>
          <w:sz w:val="28"/>
        </w:rPr>
        <w:t>
      мониторинга реализации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стратегии и политик, утвержденных советом директоров, решений общего собрания акционеров;</w:t>
      </w:r>
    </w:p>
    <w:bookmarkEnd w:id="261"/>
    <w:bookmarkStart w:name="z4593" w:id="262"/>
    <w:p>
      <w:pPr>
        <w:spacing w:after="0"/>
        <w:ind w:left="0"/>
        <w:jc w:val="both"/>
      </w:pPr>
      <w:r>
        <w:rPr>
          <w:rFonts w:ascii="Times New Roman"/>
          <w:b w:val="false"/>
          <w:i w:val="false"/>
          <w:color w:val="000000"/>
          <w:sz w:val="28"/>
        </w:rPr>
        <w:t>
      утверждения внутренних документов, регулирующих деятельность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в соответствии с Правилами;</w:t>
      </w:r>
    </w:p>
    <w:bookmarkEnd w:id="262"/>
    <w:bookmarkStart w:name="z4594" w:id="263"/>
    <w:p>
      <w:pPr>
        <w:spacing w:after="0"/>
        <w:ind w:left="0"/>
        <w:jc w:val="both"/>
      </w:pPr>
      <w:r>
        <w:rPr>
          <w:rFonts w:ascii="Times New Roman"/>
          <w:b w:val="false"/>
          <w:i w:val="false"/>
          <w:color w:val="000000"/>
          <w:sz w:val="28"/>
        </w:rPr>
        <w:t>
      обеспечения внедрения системы внутреннего контроля;</w:t>
      </w:r>
    </w:p>
    <w:bookmarkEnd w:id="263"/>
    <w:bookmarkStart w:name="z4595" w:id="264"/>
    <w:p>
      <w:pPr>
        <w:spacing w:after="0"/>
        <w:ind w:left="0"/>
        <w:jc w:val="both"/>
      </w:pPr>
      <w:r>
        <w:rPr>
          <w:rFonts w:ascii="Times New Roman"/>
          <w:b w:val="false"/>
          <w:i w:val="false"/>
          <w:color w:val="000000"/>
          <w:sz w:val="28"/>
        </w:rPr>
        <w:t>
      проведения регулярных встреч с членами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264"/>
    <w:bookmarkStart w:name="z4596" w:id="265"/>
    <w:p>
      <w:pPr>
        <w:spacing w:after="0"/>
        <w:ind w:left="0"/>
        <w:jc w:val="both"/>
      </w:pPr>
      <w:r>
        <w:rPr>
          <w:rFonts w:ascii="Times New Roman"/>
          <w:b w:val="false"/>
          <w:i w:val="false"/>
          <w:color w:val="000000"/>
          <w:sz w:val="28"/>
        </w:rPr>
        <w:t>
      проведения анализа и критической оценки сведений, представленных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265"/>
    <w:bookmarkStart w:name="z4597" w:id="266"/>
    <w:p>
      <w:pPr>
        <w:spacing w:after="0"/>
        <w:ind w:left="0"/>
        <w:jc w:val="both"/>
      </w:pPr>
      <w:r>
        <w:rPr>
          <w:rFonts w:ascii="Times New Roman"/>
          <w:b w:val="false"/>
          <w:i w:val="false"/>
          <w:color w:val="000000"/>
          <w:sz w:val="28"/>
        </w:rPr>
        <w:t>
      установления необходимых стандартов результативности и системы оплаты труда членов правления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которые соответствуют долгосрочным целям, определенным стратегией банка, и направленных на финансовую устойчивость;</w:t>
      </w:r>
    </w:p>
    <w:bookmarkEnd w:id="266"/>
    <w:bookmarkStart w:name="z4598" w:id="267"/>
    <w:p>
      <w:pPr>
        <w:spacing w:after="0"/>
        <w:ind w:left="0"/>
        <w:jc w:val="both"/>
      </w:pPr>
      <w:r>
        <w:rPr>
          <w:rFonts w:ascii="Times New Roman"/>
          <w:b w:val="false"/>
          <w:i w:val="false"/>
          <w:color w:val="000000"/>
          <w:sz w:val="28"/>
        </w:rPr>
        <w:t>
      16) взаимодействие и контроль работы главы риск-менеджмента (главы риск-менеджмента банка-нерезидента Республики Казахстан, филиал которого открыт на территории Республики Казахстан);</w:t>
      </w:r>
    </w:p>
    <w:bookmarkEnd w:id="267"/>
    <w:bookmarkStart w:name="z4599" w:id="268"/>
    <w:p>
      <w:pPr>
        <w:spacing w:after="0"/>
        <w:ind w:left="0"/>
        <w:jc w:val="both"/>
      </w:pPr>
      <w:r>
        <w:rPr>
          <w:rFonts w:ascii="Times New Roman"/>
          <w:b w:val="false"/>
          <w:i w:val="false"/>
          <w:color w:val="000000"/>
          <w:sz w:val="28"/>
        </w:rPr>
        <w:t>
      17) периодическая (не реже одного раза в год) оценка деятельности каждого члена совета директоров банка;</w:t>
      </w:r>
    </w:p>
    <w:bookmarkEnd w:id="268"/>
    <w:bookmarkStart w:name="z4600" w:id="269"/>
    <w:p>
      <w:pPr>
        <w:spacing w:after="0"/>
        <w:ind w:left="0"/>
        <w:jc w:val="both"/>
      </w:pPr>
      <w:r>
        <w:rPr>
          <w:rFonts w:ascii="Times New Roman"/>
          <w:b w:val="false"/>
          <w:i w:val="false"/>
          <w:color w:val="000000"/>
          <w:sz w:val="28"/>
        </w:rPr>
        <w:t>
      18) обеспечение ведения записей принятых решений (протоколы заседаний, краткая информация о рассмотренных вопросах, рекомендации, при наличии, а также особые мнения членов совета директоров банка). Такие документы и (или) материалы предоставляются уполномоченному органу по требованию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269"/>
    <w:bookmarkStart w:name="z4601" w:id="270"/>
    <w:p>
      <w:pPr>
        <w:spacing w:after="0"/>
        <w:ind w:left="0"/>
        <w:jc w:val="both"/>
      </w:pPr>
      <w:r>
        <w:rPr>
          <w:rFonts w:ascii="Times New Roman"/>
          <w:b w:val="false"/>
          <w:i w:val="false"/>
          <w:color w:val="000000"/>
          <w:sz w:val="28"/>
        </w:rPr>
        <w:t>
      19) обеспечение развитой инфраструктуры информационных технологий в целях сбора и анализа полной, достоверной, своевременной информации для целей управления рисками. Осведомленность о наличии ограничений инфраструктуры информационных технологий по определению уровней риск аппетита;</w:t>
      </w:r>
    </w:p>
    <w:bookmarkEnd w:id="270"/>
    <w:bookmarkStart w:name="z4602" w:id="271"/>
    <w:p>
      <w:pPr>
        <w:spacing w:after="0"/>
        <w:ind w:left="0"/>
        <w:jc w:val="both"/>
      </w:pPr>
      <w:r>
        <w:rPr>
          <w:rFonts w:ascii="Times New Roman"/>
          <w:b w:val="false"/>
          <w:i w:val="false"/>
          <w:color w:val="000000"/>
          <w:sz w:val="28"/>
        </w:rPr>
        <w:t>
      20) принятие решения по выдаче займа, размер которого превышает 5 (пять) процентов от собственного капитала банка на основе анализа и оценки целесообразности выдачи займа;</w:t>
      </w:r>
    </w:p>
    <w:bookmarkEnd w:id="271"/>
    <w:bookmarkStart w:name="z4603" w:id="272"/>
    <w:p>
      <w:pPr>
        <w:spacing w:after="0"/>
        <w:ind w:left="0"/>
        <w:jc w:val="both"/>
      </w:pPr>
      <w:r>
        <w:rPr>
          <w:rFonts w:ascii="Times New Roman"/>
          <w:b w:val="false"/>
          <w:i w:val="false"/>
          <w:color w:val="000000"/>
          <w:sz w:val="28"/>
        </w:rPr>
        <w:t>
      21) принятие решения по выдаче беззалогового потребительского займа, размер которого превышает 20 000 000 (двадцать миллионов) тенге на основе анализа и оценки целесообразности выдачи банковского займа. К данному пункту не относятся случаи о выдаче беззалогового потребительского займа при рефинансировании ипотечных займов.</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21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73"/>
    <w:p>
      <w:pPr>
        <w:spacing w:after="0"/>
        <w:ind w:left="0"/>
        <w:jc w:val="both"/>
      </w:pPr>
      <w:r>
        <w:rPr>
          <w:rFonts w:ascii="Times New Roman"/>
          <w:b w:val="false"/>
          <w:i w:val="false"/>
          <w:color w:val="000000"/>
          <w:sz w:val="28"/>
        </w:rPr>
        <w:t>
      22. Состав совета директоров банка и квалификационные требования к его членам отвечают следующим требованиям:</w:t>
      </w:r>
    </w:p>
    <w:bookmarkEnd w:id="273"/>
    <w:bookmarkStart w:name="z255" w:id="274"/>
    <w:p>
      <w:pPr>
        <w:spacing w:after="0"/>
        <w:ind w:left="0"/>
        <w:jc w:val="both"/>
      </w:pPr>
      <w:r>
        <w:rPr>
          <w:rFonts w:ascii="Times New Roman"/>
          <w:b w:val="false"/>
          <w:i w:val="false"/>
          <w:color w:val="000000"/>
          <w:sz w:val="28"/>
        </w:rPr>
        <w:t>
      1) состав совета директоров банка и его полномочия достаточны для осуществления эффективного контроля;</w:t>
      </w:r>
    </w:p>
    <w:bookmarkEnd w:id="274"/>
    <w:bookmarkStart w:name="z256" w:id="275"/>
    <w:p>
      <w:pPr>
        <w:spacing w:after="0"/>
        <w:ind w:left="0"/>
        <w:jc w:val="both"/>
      </w:pPr>
      <w:r>
        <w:rPr>
          <w:rFonts w:ascii="Times New Roman"/>
          <w:b w:val="false"/>
          <w:i w:val="false"/>
          <w:color w:val="000000"/>
          <w:sz w:val="28"/>
        </w:rPr>
        <w:t>
      2) совет директоров банка состоит из лиц, обладающих необходимой квалификацией, безупречной деловой репутацией и опытом, в совокупности достаточными для общего руководства банком, в соответствии с выбранной бизнес моделью, масштабом деятельности, видом и сложностью операций;</w:t>
      </w:r>
    </w:p>
    <w:bookmarkEnd w:id="275"/>
    <w:bookmarkStart w:name="z257" w:id="276"/>
    <w:p>
      <w:pPr>
        <w:spacing w:after="0"/>
        <w:ind w:left="0"/>
        <w:jc w:val="both"/>
      </w:pPr>
      <w:r>
        <w:rPr>
          <w:rFonts w:ascii="Times New Roman"/>
          <w:b w:val="false"/>
          <w:i w:val="false"/>
          <w:color w:val="000000"/>
          <w:sz w:val="28"/>
        </w:rPr>
        <w:t>
      3) члены совета директоров банка ориентированы на взаимодействие, сотрудничество и критическое обсуждение в процессе принятия решений;</w:t>
      </w:r>
    </w:p>
    <w:bookmarkEnd w:id="276"/>
    <w:bookmarkStart w:name="z258" w:id="277"/>
    <w:p>
      <w:pPr>
        <w:spacing w:after="0"/>
        <w:ind w:left="0"/>
        <w:jc w:val="both"/>
      </w:pPr>
      <w:r>
        <w:rPr>
          <w:rFonts w:ascii="Times New Roman"/>
          <w:b w:val="false"/>
          <w:i w:val="false"/>
          <w:color w:val="000000"/>
          <w:sz w:val="28"/>
        </w:rPr>
        <w:t>
      4) члены совета директоров банка добросовестно выполняют свои обязанности и принимают решения, минимизируют конфликты интересов.</w:t>
      </w:r>
    </w:p>
    <w:bookmarkEnd w:id="277"/>
    <w:bookmarkStart w:name="z259" w:id="278"/>
    <w:p>
      <w:pPr>
        <w:spacing w:after="0"/>
        <w:ind w:left="0"/>
        <w:jc w:val="both"/>
      </w:pPr>
      <w:r>
        <w:rPr>
          <w:rFonts w:ascii="Times New Roman"/>
          <w:b w:val="false"/>
          <w:i w:val="false"/>
          <w:color w:val="000000"/>
          <w:sz w:val="28"/>
        </w:rPr>
        <w:t>
      23. С целью повышения эффективности и более детальной работы по отдельным направлениям деятельности банка и исходя из выбранной бизнес модели, масштабов деятельности, видов и сложности операций, риск-профиля совет директоров банка создает специальные комитеты при совете директоров банка.</w:t>
      </w:r>
    </w:p>
    <w:bookmarkEnd w:id="278"/>
    <w:bookmarkStart w:name="z260" w:id="279"/>
    <w:p>
      <w:pPr>
        <w:spacing w:after="0"/>
        <w:ind w:left="0"/>
        <w:jc w:val="both"/>
      </w:pPr>
      <w:r>
        <w:rPr>
          <w:rFonts w:ascii="Times New Roman"/>
          <w:b w:val="false"/>
          <w:i w:val="false"/>
          <w:color w:val="000000"/>
          <w:sz w:val="28"/>
        </w:rPr>
        <w:t>
      Каждый комитет осуществляет свою деятельность в рамках документа, определяющего его полномочия, компетенцию, а также принципы работы, внутренний порядок предоставления отчетов совету директоров банка, задачи, стоящие перед членами комитета и ограничения по срокам работы членов совета директоров банка в комитете. Совет директоров банка предусматривает периодическую ротацию членов (за исключением экспертов) таких комитетов, чтобы избежать концентрации полномочий и способствовать продвижению новых взглядов.</w:t>
      </w:r>
    </w:p>
    <w:bookmarkEnd w:id="279"/>
    <w:bookmarkStart w:name="z261" w:id="280"/>
    <w:p>
      <w:pPr>
        <w:spacing w:after="0"/>
        <w:ind w:left="0"/>
        <w:jc w:val="both"/>
      </w:pPr>
      <w:r>
        <w:rPr>
          <w:rFonts w:ascii="Times New Roman"/>
          <w:b w:val="false"/>
          <w:i w:val="false"/>
          <w:color w:val="000000"/>
          <w:sz w:val="28"/>
        </w:rPr>
        <w:t>
      Комитеты ведут записи принятых решений (протоколы заседаний, краткая информация о рассмотренных вопросах, рекомендации, при наличии, а также особые мнения членов комитетов). Председателем комитета при совете директоров является член совета директоров, не являющийся руководителем или членом исполнительного органа.</w:t>
      </w:r>
    </w:p>
    <w:bookmarkEnd w:id="280"/>
    <w:bookmarkStart w:name="z262" w:id="281"/>
    <w:p>
      <w:pPr>
        <w:spacing w:after="0"/>
        <w:ind w:left="0"/>
        <w:jc w:val="both"/>
      </w:pPr>
      <w:r>
        <w:rPr>
          <w:rFonts w:ascii="Times New Roman"/>
          <w:b w:val="false"/>
          <w:i w:val="false"/>
          <w:color w:val="000000"/>
          <w:sz w:val="28"/>
        </w:rPr>
        <w:t>
      24. В рамках системы управления рисками, комитеты совета директоров банка рассматривают следующие вопросы:</w:t>
      </w:r>
    </w:p>
    <w:bookmarkEnd w:id="281"/>
    <w:bookmarkStart w:name="z4606" w:id="282"/>
    <w:p>
      <w:pPr>
        <w:spacing w:after="0"/>
        <w:ind w:left="0"/>
        <w:jc w:val="both"/>
      </w:pPr>
      <w:r>
        <w:rPr>
          <w:rFonts w:ascii="Times New Roman"/>
          <w:b w:val="false"/>
          <w:i w:val="false"/>
          <w:color w:val="000000"/>
          <w:sz w:val="28"/>
        </w:rPr>
        <w:t>
      1) стратегического планирования;</w:t>
      </w:r>
    </w:p>
    <w:bookmarkEnd w:id="282"/>
    <w:bookmarkStart w:name="z4607" w:id="283"/>
    <w:p>
      <w:pPr>
        <w:spacing w:after="0"/>
        <w:ind w:left="0"/>
        <w:jc w:val="both"/>
      </w:pPr>
      <w:r>
        <w:rPr>
          <w:rFonts w:ascii="Times New Roman"/>
          <w:b w:val="false"/>
          <w:i w:val="false"/>
          <w:color w:val="000000"/>
          <w:sz w:val="28"/>
        </w:rPr>
        <w:t>
      2) кадров и вознаграждений;</w:t>
      </w:r>
    </w:p>
    <w:bookmarkEnd w:id="283"/>
    <w:bookmarkStart w:name="z4608" w:id="284"/>
    <w:p>
      <w:pPr>
        <w:spacing w:after="0"/>
        <w:ind w:left="0"/>
        <w:jc w:val="both"/>
      </w:pPr>
      <w:r>
        <w:rPr>
          <w:rFonts w:ascii="Times New Roman"/>
          <w:b w:val="false"/>
          <w:i w:val="false"/>
          <w:color w:val="000000"/>
          <w:sz w:val="28"/>
        </w:rPr>
        <w:t>
      3) аудита;</w:t>
      </w:r>
    </w:p>
    <w:bookmarkEnd w:id="284"/>
    <w:bookmarkStart w:name="z4609" w:id="285"/>
    <w:p>
      <w:pPr>
        <w:spacing w:after="0"/>
        <w:ind w:left="0"/>
        <w:jc w:val="both"/>
      </w:pPr>
      <w:r>
        <w:rPr>
          <w:rFonts w:ascii="Times New Roman"/>
          <w:b w:val="false"/>
          <w:i w:val="false"/>
          <w:color w:val="000000"/>
          <w:sz w:val="28"/>
        </w:rPr>
        <w:t>
      4) управления рисками;</w:t>
      </w:r>
    </w:p>
    <w:bookmarkEnd w:id="285"/>
    <w:bookmarkStart w:name="z4610" w:id="286"/>
    <w:p>
      <w:pPr>
        <w:spacing w:after="0"/>
        <w:ind w:left="0"/>
        <w:jc w:val="both"/>
      </w:pPr>
      <w:r>
        <w:rPr>
          <w:rFonts w:ascii="Times New Roman"/>
          <w:b w:val="false"/>
          <w:i w:val="false"/>
          <w:color w:val="000000"/>
          <w:sz w:val="28"/>
        </w:rPr>
        <w:t xml:space="preserve">
      5)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пункта 24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611" w:id="287"/>
    <w:p>
      <w:pPr>
        <w:spacing w:after="0"/>
        <w:ind w:left="0"/>
        <w:jc w:val="both"/>
      </w:pPr>
      <w:r>
        <w:rPr>
          <w:rFonts w:ascii="Times New Roman"/>
          <w:b w:val="false"/>
          <w:i w:val="false"/>
          <w:color w:val="000000"/>
          <w:sz w:val="28"/>
        </w:rPr>
        <w:t>
      6) иные вопросы, предусмотренные внутренними документами банка.</w:t>
      </w:r>
    </w:p>
    <w:bookmarkEnd w:id="287"/>
    <w:bookmarkStart w:name="z4612" w:id="288"/>
    <w:p>
      <w:pPr>
        <w:spacing w:after="0"/>
        <w:ind w:left="0"/>
        <w:jc w:val="both"/>
      </w:pPr>
      <w:r>
        <w:rPr>
          <w:rFonts w:ascii="Times New Roman"/>
          <w:b w:val="false"/>
          <w:i w:val="false"/>
          <w:color w:val="000000"/>
          <w:sz w:val="28"/>
        </w:rPr>
        <w:t>
      Рассмотрение перечисленных вопросов осуществляется одним или несколькими комитетами совета директоров банка, за исключением вопросов аудита, рассматриваемых отдельным комитетом совета директоров.</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24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89"/>
    <w:p>
      <w:pPr>
        <w:spacing w:after="0"/>
        <w:ind w:left="0"/>
        <w:jc w:val="both"/>
      </w:pPr>
      <w:r>
        <w:rPr>
          <w:rFonts w:ascii="Times New Roman"/>
          <w:b w:val="false"/>
          <w:i w:val="false"/>
          <w:color w:val="000000"/>
          <w:sz w:val="28"/>
        </w:rPr>
        <w:t>
      25. Основные требования к составу комитета по вопросам аудита:</w:t>
      </w:r>
    </w:p>
    <w:bookmarkEnd w:id="289"/>
    <w:bookmarkStart w:name="z270" w:id="290"/>
    <w:p>
      <w:pPr>
        <w:spacing w:after="0"/>
        <w:ind w:left="0"/>
        <w:jc w:val="both"/>
      </w:pPr>
      <w:r>
        <w:rPr>
          <w:rFonts w:ascii="Times New Roman"/>
          <w:b w:val="false"/>
          <w:i w:val="false"/>
          <w:color w:val="000000"/>
          <w:sz w:val="28"/>
        </w:rPr>
        <w:t>
      1) в состав комитета по вопросам аудита входят исключительно члены совета директоров банка;</w:t>
      </w:r>
    </w:p>
    <w:bookmarkEnd w:id="290"/>
    <w:bookmarkStart w:name="z271" w:id="291"/>
    <w:p>
      <w:pPr>
        <w:spacing w:after="0"/>
        <w:ind w:left="0"/>
        <w:jc w:val="both"/>
      </w:pPr>
      <w:r>
        <w:rPr>
          <w:rFonts w:ascii="Times New Roman"/>
          <w:b w:val="false"/>
          <w:i w:val="false"/>
          <w:color w:val="000000"/>
          <w:sz w:val="28"/>
        </w:rPr>
        <w:t>
      2) председателем комитета по вопросам аудита является независимый директор банка;</w:t>
      </w:r>
    </w:p>
    <w:bookmarkEnd w:id="291"/>
    <w:bookmarkStart w:name="z272" w:id="292"/>
    <w:p>
      <w:pPr>
        <w:spacing w:after="0"/>
        <w:ind w:left="0"/>
        <w:jc w:val="both"/>
      </w:pPr>
      <w:r>
        <w:rPr>
          <w:rFonts w:ascii="Times New Roman"/>
          <w:b w:val="false"/>
          <w:i w:val="false"/>
          <w:color w:val="000000"/>
          <w:sz w:val="28"/>
        </w:rPr>
        <w:t>
      3) в состав комитета по вопросам аудита входит как минимум один член совета директоров банка, имеющий опыт работы в области аудита и (или) бухгалтерского учета и финансовой отчетности и (или) управления рисками.</w:t>
      </w:r>
    </w:p>
    <w:bookmarkEnd w:id="292"/>
    <w:bookmarkStart w:name="z273" w:id="293"/>
    <w:p>
      <w:pPr>
        <w:spacing w:after="0"/>
        <w:ind w:left="0"/>
        <w:jc w:val="both"/>
      </w:pPr>
      <w:r>
        <w:rPr>
          <w:rFonts w:ascii="Times New Roman"/>
          <w:b w:val="false"/>
          <w:i w:val="false"/>
          <w:color w:val="000000"/>
          <w:sz w:val="28"/>
        </w:rPr>
        <w:t>
      26. Комитет по вопросам аудита несет ответственность за:</w:t>
      </w:r>
    </w:p>
    <w:bookmarkEnd w:id="293"/>
    <w:bookmarkStart w:name="z274" w:id="294"/>
    <w:p>
      <w:pPr>
        <w:spacing w:after="0"/>
        <w:ind w:left="0"/>
        <w:jc w:val="both"/>
      </w:pPr>
      <w:r>
        <w:rPr>
          <w:rFonts w:ascii="Times New Roman"/>
          <w:b w:val="false"/>
          <w:i w:val="false"/>
          <w:color w:val="000000"/>
          <w:sz w:val="28"/>
        </w:rPr>
        <w:t xml:space="preserve">
      1) обеспечение разработки политики внутреннего аудита, кодекса этики внутреннего аудитора, положения подразделения внутреннего аудита, процедур осуществления внутреннего аудита и системы управленческой информации в соответствии с требованиями, установленными </w:t>
      </w:r>
      <w:r>
        <w:rPr>
          <w:rFonts w:ascii="Times New Roman"/>
          <w:b w:val="false"/>
          <w:i w:val="false"/>
          <w:color w:val="000000"/>
          <w:sz w:val="28"/>
        </w:rPr>
        <w:t>главой 12</w:t>
      </w:r>
      <w:r>
        <w:rPr>
          <w:rFonts w:ascii="Times New Roman"/>
          <w:b w:val="false"/>
          <w:i w:val="false"/>
          <w:color w:val="000000"/>
          <w:sz w:val="28"/>
        </w:rPr>
        <w:t xml:space="preserve"> Правил для дальнейшего вынесения на утверждение совета директоров банка;</w:t>
      </w:r>
    </w:p>
    <w:bookmarkEnd w:id="294"/>
    <w:bookmarkStart w:name="z275" w:id="295"/>
    <w:p>
      <w:pPr>
        <w:spacing w:after="0"/>
        <w:ind w:left="0"/>
        <w:jc w:val="both"/>
      </w:pPr>
      <w:r>
        <w:rPr>
          <w:rFonts w:ascii="Times New Roman"/>
          <w:b w:val="false"/>
          <w:i w:val="false"/>
          <w:color w:val="000000"/>
          <w:sz w:val="28"/>
        </w:rPr>
        <w:t>
      2) взаимодействие с внешним аудитором по вопросам качества предоставляемой информации о деятельности банка, рассмотрения рекомендаций внешних аудиторов, контроль устранения выявленных замечаний, а также рассмотрение годовой финансовой отчетности, заверенной аудиторской организацией для дальнейшего вынесения на предварительное утверждение советом директоров банка;</w:t>
      </w:r>
    </w:p>
    <w:bookmarkEnd w:id="295"/>
    <w:bookmarkStart w:name="z276" w:id="296"/>
    <w:p>
      <w:pPr>
        <w:spacing w:after="0"/>
        <w:ind w:left="0"/>
        <w:jc w:val="both"/>
      </w:pPr>
      <w:r>
        <w:rPr>
          <w:rFonts w:ascii="Times New Roman"/>
          <w:b w:val="false"/>
          <w:i w:val="false"/>
          <w:color w:val="000000"/>
          <w:sz w:val="28"/>
        </w:rPr>
        <w:t>
      3) обеспечение разработки политики (процедур) привлечения внешнего аудитора для дальнейшего вынесения на утверждение советом директоров банка, включая определение:</w:t>
      </w:r>
    </w:p>
    <w:bookmarkEnd w:id="296"/>
    <w:bookmarkStart w:name="z277" w:id="297"/>
    <w:p>
      <w:pPr>
        <w:spacing w:after="0"/>
        <w:ind w:left="0"/>
        <w:jc w:val="both"/>
      </w:pPr>
      <w:r>
        <w:rPr>
          <w:rFonts w:ascii="Times New Roman"/>
          <w:b w:val="false"/>
          <w:i w:val="false"/>
          <w:color w:val="000000"/>
          <w:sz w:val="28"/>
        </w:rPr>
        <w:t>
      критериев и условий для отбора внешнего аудитора;</w:t>
      </w:r>
    </w:p>
    <w:bookmarkEnd w:id="297"/>
    <w:bookmarkStart w:name="z278" w:id="298"/>
    <w:p>
      <w:pPr>
        <w:spacing w:after="0"/>
        <w:ind w:left="0"/>
        <w:jc w:val="both"/>
      </w:pPr>
      <w:r>
        <w:rPr>
          <w:rFonts w:ascii="Times New Roman"/>
          <w:b w:val="false"/>
          <w:i w:val="false"/>
          <w:color w:val="000000"/>
          <w:sz w:val="28"/>
        </w:rPr>
        <w:t xml:space="preserve">
      системы оплаты услуг за аудит финансовой отчетности, а также за предоставление консультационных услуг банку по вопросам аудита; </w:t>
      </w:r>
    </w:p>
    <w:bookmarkEnd w:id="298"/>
    <w:bookmarkStart w:name="z279" w:id="299"/>
    <w:p>
      <w:pPr>
        <w:spacing w:after="0"/>
        <w:ind w:left="0"/>
        <w:jc w:val="both"/>
      </w:pPr>
      <w:r>
        <w:rPr>
          <w:rFonts w:ascii="Times New Roman"/>
          <w:b w:val="false"/>
          <w:i w:val="false"/>
          <w:color w:val="000000"/>
          <w:sz w:val="28"/>
        </w:rPr>
        <w:t>
      4) рассмотрение размера оплаты услуг внешнего аудитора;</w:t>
      </w:r>
    </w:p>
    <w:bookmarkEnd w:id="299"/>
    <w:bookmarkStart w:name="z280" w:id="300"/>
    <w:p>
      <w:pPr>
        <w:spacing w:after="0"/>
        <w:ind w:left="0"/>
        <w:jc w:val="both"/>
      </w:pPr>
      <w:r>
        <w:rPr>
          <w:rFonts w:ascii="Times New Roman"/>
          <w:b w:val="false"/>
          <w:i w:val="false"/>
          <w:color w:val="000000"/>
          <w:sz w:val="28"/>
        </w:rPr>
        <w:t>
      5) предварительное рассмотрение годового плана внутреннего аудита;</w:t>
      </w:r>
    </w:p>
    <w:bookmarkEnd w:id="300"/>
    <w:bookmarkStart w:name="z281" w:id="301"/>
    <w:p>
      <w:pPr>
        <w:spacing w:after="0"/>
        <w:ind w:left="0"/>
        <w:jc w:val="both"/>
      </w:pPr>
      <w:r>
        <w:rPr>
          <w:rFonts w:ascii="Times New Roman"/>
          <w:b w:val="false"/>
          <w:i w:val="false"/>
          <w:color w:val="000000"/>
          <w:sz w:val="28"/>
        </w:rPr>
        <w:t>
      6) предварительное рассмотрение отчетов о результатах внутреннего и внешнего аудита, контроль своевременного выполнения правлением банка действий по устранению нарушений и выполнению рекомендаций внутреннего и внешнего аудита, несоответствий деятельности политикам банка,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и международным стандартам финансовой отчетности;</w:t>
      </w:r>
    </w:p>
    <w:bookmarkEnd w:id="301"/>
    <w:bookmarkStart w:name="z282" w:id="302"/>
    <w:p>
      <w:pPr>
        <w:spacing w:after="0"/>
        <w:ind w:left="0"/>
        <w:jc w:val="both"/>
      </w:pPr>
      <w:r>
        <w:rPr>
          <w:rFonts w:ascii="Times New Roman"/>
          <w:b w:val="false"/>
          <w:i w:val="false"/>
          <w:color w:val="000000"/>
          <w:sz w:val="28"/>
        </w:rPr>
        <w:t>
      7) рассмотрение актов проверок уполномоченного органа и заключений иных экспертов в отношении структуры и эффективности общей системы управления рисками и внутреннего контроля в банке;</w:t>
      </w:r>
    </w:p>
    <w:bookmarkEnd w:id="302"/>
    <w:bookmarkStart w:name="z283" w:id="303"/>
    <w:p>
      <w:pPr>
        <w:spacing w:after="0"/>
        <w:ind w:left="0"/>
        <w:jc w:val="both"/>
      </w:pPr>
      <w:r>
        <w:rPr>
          <w:rFonts w:ascii="Times New Roman"/>
          <w:b w:val="false"/>
          <w:i w:val="false"/>
          <w:color w:val="000000"/>
          <w:sz w:val="28"/>
        </w:rPr>
        <w:t>
      8) рассмотрение результатов оценки эффективности деятельности внутреннего аудита.</w:t>
      </w:r>
    </w:p>
    <w:bookmarkEnd w:id="303"/>
    <w:bookmarkStart w:name="z284" w:id="304"/>
    <w:p>
      <w:pPr>
        <w:spacing w:after="0"/>
        <w:ind w:left="0"/>
        <w:jc w:val="both"/>
      </w:pPr>
      <w:r>
        <w:rPr>
          <w:rFonts w:ascii="Times New Roman"/>
          <w:b w:val="false"/>
          <w:i w:val="false"/>
          <w:color w:val="000000"/>
          <w:sz w:val="28"/>
        </w:rPr>
        <w:t>
      27. Основные требования к составу комитета по вопросам управления рисками:</w:t>
      </w:r>
    </w:p>
    <w:bookmarkEnd w:id="304"/>
    <w:bookmarkStart w:name="z285" w:id="305"/>
    <w:p>
      <w:pPr>
        <w:spacing w:after="0"/>
        <w:ind w:left="0"/>
        <w:jc w:val="both"/>
      </w:pPr>
      <w:r>
        <w:rPr>
          <w:rFonts w:ascii="Times New Roman"/>
          <w:b w:val="false"/>
          <w:i w:val="false"/>
          <w:color w:val="000000"/>
          <w:sz w:val="28"/>
        </w:rPr>
        <w:t>
      1) председателем комитета по вопросам управления рисками является независимый директор банка, либо председатель совета директоров;</w:t>
      </w:r>
    </w:p>
    <w:bookmarkEnd w:id="305"/>
    <w:bookmarkStart w:name="z286" w:id="306"/>
    <w:p>
      <w:pPr>
        <w:spacing w:after="0"/>
        <w:ind w:left="0"/>
        <w:jc w:val="both"/>
      </w:pPr>
      <w:r>
        <w:rPr>
          <w:rFonts w:ascii="Times New Roman"/>
          <w:b w:val="false"/>
          <w:i w:val="false"/>
          <w:color w:val="000000"/>
          <w:sz w:val="28"/>
        </w:rPr>
        <w:t>
      2) в состав входит как минимум один член комитета банка, имеющий опыт работы в сфере управления рисками или внутреннего контроля.</w:t>
      </w:r>
    </w:p>
    <w:bookmarkEnd w:id="306"/>
    <w:bookmarkStart w:name="z287" w:id="307"/>
    <w:p>
      <w:pPr>
        <w:spacing w:after="0"/>
        <w:ind w:left="0"/>
        <w:jc w:val="both"/>
      </w:pPr>
      <w:r>
        <w:rPr>
          <w:rFonts w:ascii="Times New Roman"/>
          <w:b w:val="false"/>
          <w:i w:val="false"/>
          <w:color w:val="000000"/>
          <w:sz w:val="28"/>
        </w:rPr>
        <w:t>
      28. Комитет по вопросам управления рисками несет ответственность за:</w:t>
      </w:r>
    </w:p>
    <w:bookmarkEnd w:id="307"/>
    <w:bookmarkStart w:name="z288" w:id="308"/>
    <w:p>
      <w:pPr>
        <w:spacing w:after="0"/>
        <w:ind w:left="0"/>
        <w:jc w:val="both"/>
      </w:pPr>
      <w:r>
        <w:rPr>
          <w:rFonts w:ascii="Times New Roman"/>
          <w:b w:val="false"/>
          <w:i w:val="false"/>
          <w:color w:val="000000"/>
          <w:sz w:val="28"/>
        </w:rPr>
        <w:t>
      1) обеспечение разработки стратегии риск-аппетита, определение риск-профиля банка;</w:t>
      </w:r>
    </w:p>
    <w:bookmarkEnd w:id="308"/>
    <w:bookmarkStart w:name="z289" w:id="309"/>
    <w:p>
      <w:pPr>
        <w:spacing w:after="0"/>
        <w:ind w:left="0"/>
        <w:jc w:val="both"/>
      </w:pPr>
      <w:r>
        <w:rPr>
          <w:rFonts w:ascii="Times New Roman"/>
          <w:b w:val="false"/>
          <w:i w:val="false"/>
          <w:color w:val="000000"/>
          <w:sz w:val="28"/>
        </w:rPr>
        <w:t>
      2) определение размеров агрегированного уровня (уровней) риск-аппетита банка и уровней риск-аппетита банка по каждому существенному виду риска для дальнейшего вынесения на утверждение совета директоров банка;</w:t>
      </w:r>
    </w:p>
    <w:bookmarkEnd w:id="309"/>
    <w:bookmarkStart w:name="z290" w:id="310"/>
    <w:p>
      <w:pPr>
        <w:spacing w:after="0"/>
        <w:ind w:left="0"/>
        <w:jc w:val="both"/>
      </w:pPr>
      <w:r>
        <w:rPr>
          <w:rFonts w:ascii="Times New Roman"/>
          <w:b w:val="false"/>
          <w:i w:val="false"/>
          <w:color w:val="000000"/>
          <w:sz w:val="28"/>
        </w:rPr>
        <w:t xml:space="preserve">
      3) обеспечение разработки документа, регламентирующего основные подходы и принципы ВПОДК с учетом требований, установленных </w:t>
      </w:r>
      <w:r>
        <w:rPr>
          <w:rFonts w:ascii="Times New Roman"/>
          <w:b w:val="false"/>
          <w:i w:val="false"/>
          <w:color w:val="000000"/>
          <w:sz w:val="28"/>
        </w:rPr>
        <w:t>главой 5</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утвержденного документа;</w:t>
      </w:r>
    </w:p>
    <w:bookmarkEnd w:id="310"/>
    <w:bookmarkStart w:name="z291" w:id="311"/>
    <w:p>
      <w:pPr>
        <w:spacing w:after="0"/>
        <w:ind w:left="0"/>
        <w:jc w:val="both"/>
      </w:pPr>
      <w:r>
        <w:rPr>
          <w:rFonts w:ascii="Times New Roman"/>
          <w:b w:val="false"/>
          <w:i w:val="false"/>
          <w:color w:val="000000"/>
          <w:sz w:val="28"/>
        </w:rPr>
        <w:t xml:space="preserve">
      4) обеспечение разработки документа, регламентирующего основные подходы и принципы ВПОДЛ с учетом требований, установленных </w:t>
      </w:r>
      <w:r>
        <w:rPr>
          <w:rFonts w:ascii="Times New Roman"/>
          <w:b w:val="false"/>
          <w:i w:val="false"/>
          <w:color w:val="000000"/>
          <w:sz w:val="28"/>
        </w:rPr>
        <w:t>главой 6</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утвержденного документа;</w:t>
      </w:r>
    </w:p>
    <w:bookmarkEnd w:id="311"/>
    <w:bookmarkStart w:name="z292" w:id="312"/>
    <w:p>
      <w:pPr>
        <w:spacing w:after="0"/>
        <w:ind w:left="0"/>
        <w:jc w:val="both"/>
      </w:pPr>
      <w:r>
        <w:rPr>
          <w:rFonts w:ascii="Times New Roman"/>
          <w:b w:val="false"/>
          <w:i w:val="false"/>
          <w:color w:val="000000"/>
          <w:sz w:val="28"/>
        </w:rPr>
        <w:t>
      5) обеспечение разработки процедур проведения стресс-тестирований и сценариев стресс-тестирования для дальнейшего вынесения на утверждение совета директоров банка;</w:t>
      </w:r>
    </w:p>
    <w:bookmarkEnd w:id="312"/>
    <w:bookmarkStart w:name="z293" w:id="313"/>
    <w:p>
      <w:pPr>
        <w:spacing w:after="0"/>
        <w:ind w:left="0"/>
        <w:jc w:val="both"/>
      </w:pPr>
      <w:r>
        <w:rPr>
          <w:rFonts w:ascii="Times New Roman"/>
          <w:b w:val="false"/>
          <w:i w:val="false"/>
          <w:color w:val="000000"/>
          <w:sz w:val="28"/>
        </w:rPr>
        <w:t xml:space="preserve">
      6) обеспечение разработки политики управления непрерывностью деятельности банка с учетом требований, установленных </w:t>
      </w:r>
      <w:r>
        <w:rPr>
          <w:rFonts w:ascii="Times New Roman"/>
          <w:b w:val="false"/>
          <w:i w:val="false"/>
          <w:color w:val="000000"/>
          <w:sz w:val="28"/>
        </w:rPr>
        <w:t>главой 7</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указанной в настоящем подпункте политики;</w:t>
      </w:r>
    </w:p>
    <w:bookmarkEnd w:id="313"/>
    <w:bookmarkStart w:name="z294" w:id="314"/>
    <w:p>
      <w:pPr>
        <w:spacing w:after="0"/>
        <w:ind w:left="0"/>
        <w:jc w:val="both"/>
      </w:pPr>
      <w:r>
        <w:rPr>
          <w:rFonts w:ascii="Times New Roman"/>
          <w:b w:val="false"/>
          <w:i w:val="false"/>
          <w:color w:val="000000"/>
          <w:sz w:val="28"/>
        </w:rPr>
        <w:t>
      7) обеспечение разработки плана финансирования на случай непредвиденных ситуаций для дальнейшего вынесения на утверждение совета директоров банка;</w:t>
      </w:r>
    </w:p>
    <w:bookmarkEnd w:id="314"/>
    <w:bookmarkStart w:name="z295" w:id="315"/>
    <w:p>
      <w:pPr>
        <w:spacing w:after="0"/>
        <w:ind w:left="0"/>
        <w:jc w:val="both"/>
      </w:pPr>
      <w:r>
        <w:rPr>
          <w:rFonts w:ascii="Times New Roman"/>
          <w:b w:val="false"/>
          <w:i w:val="false"/>
          <w:color w:val="000000"/>
          <w:sz w:val="28"/>
        </w:rPr>
        <w:t xml:space="preserve">
      8) обеспечение разработки политик (политики) управления рисками информационных технологий и информационной безопасности банка с учетом требований, установленных </w:t>
      </w:r>
      <w:r>
        <w:rPr>
          <w:rFonts w:ascii="Times New Roman"/>
          <w:b w:val="false"/>
          <w:i w:val="false"/>
          <w:color w:val="000000"/>
          <w:sz w:val="28"/>
        </w:rPr>
        <w:t>главой 8</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указанных (указанной) в настоящем подпункте политик (политики);</w:t>
      </w:r>
    </w:p>
    <w:bookmarkEnd w:id="315"/>
    <w:bookmarkStart w:name="z296" w:id="316"/>
    <w:p>
      <w:pPr>
        <w:spacing w:after="0"/>
        <w:ind w:left="0"/>
        <w:jc w:val="both"/>
      </w:pPr>
      <w:r>
        <w:rPr>
          <w:rFonts w:ascii="Times New Roman"/>
          <w:b w:val="false"/>
          <w:i w:val="false"/>
          <w:color w:val="000000"/>
          <w:sz w:val="28"/>
        </w:rPr>
        <w:t xml:space="preserve">
      9) обеспечение разработки политики управления комплаенс-риском с учетом требований, установленных </w:t>
      </w:r>
      <w:r>
        <w:rPr>
          <w:rFonts w:ascii="Times New Roman"/>
          <w:b w:val="false"/>
          <w:i w:val="false"/>
          <w:color w:val="000000"/>
          <w:sz w:val="28"/>
        </w:rPr>
        <w:t>главой 9</w:t>
      </w:r>
      <w:r>
        <w:rPr>
          <w:rFonts w:ascii="Times New Roman"/>
          <w:b w:val="false"/>
          <w:i w:val="false"/>
          <w:color w:val="000000"/>
          <w:sz w:val="28"/>
        </w:rPr>
        <w:t xml:space="preserve"> Правил, для дальнейшего вынесения на утверждение совета директоров банка и за осуществление мониторинга соблюдения банком, указанной в настоящем подпункте политики;</w:t>
      </w:r>
    </w:p>
    <w:bookmarkEnd w:id="316"/>
    <w:bookmarkStart w:name="z297" w:id="317"/>
    <w:p>
      <w:pPr>
        <w:spacing w:after="0"/>
        <w:ind w:left="0"/>
        <w:jc w:val="both"/>
      </w:pPr>
      <w:r>
        <w:rPr>
          <w:rFonts w:ascii="Times New Roman"/>
          <w:b w:val="false"/>
          <w:i w:val="false"/>
          <w:color w:val="000000"/>
          <w:sz w:val="28"/>
        </w:rPr>
        <w:t>
      10) обеспечение разработки внутреннего порядка, определяющего функционирование системы управленческой информации, обеспечивающей представление на регулярной основе совету директоров банка полной, достоверной и своевременной информации об уровне принимаемых рисков. Указанный в настоящем подпункте порядок включает критерии, состав, частоту формирования и формы предоставления совету директоров банка управленческой информации об уровне принимаемых рисков банком и дочерних организаций с указанием структурных подразделений, органов банка, ответственных за своевременную подготовку и доведение информации до совета директоров банка. Формы управленческой отчетности содержат сведения с учетом требований, установленных главами 5, 6, 7, 8 и 9 Правил, а также сведения:</w:t>
      </w:r>
    </w:p>
    <w:bookmarkEnd w:id="317"/>
    <w:bookmarkStart w:name="z298" w:id="318"/>
    <w:p>
      <w:pPr>
        <w:spacing w:after="0"/>
        <w:ind w:left="0"/>
        <w:jc w:val="both"/>
      </w:pPr>
      <w:r>
        <w:rPr>
          <w:rFonts w:ascii="Times New Roman"/>
          <w:b w:val="false"/>
          <w:i w:val="false"/>
          <w:color w:val="000000"/>
          <w:sz w:val="28"/>
        </w:rPr>
        <w:t>
      по результатам стресс-тестирования и других инструментов оценки и выявления взаимосвязанности банковских рисков между собой;</w:t>
      </w:r>
    </w:p>
    <w:bookmarkEnd w:id="318"/>
    <w:bookmarkStart w:name="z299" w:id="319"/>
    <w:p>
      <w:pPr>
        <w:spacing w:after="0"/>
        <w:ind w:left="0"/>
        <w:jc w:val="both"/>
      </w:pPr>
      <w:r>
        <w:rPr>
          <w:rFonts w:ascii="Times New Roman"/>
          <w:b w:val="false"/>
          <w:i w:val="false"/>
          <w:color w:val="000000"/>
          <w:sz w:val="28"/>
        </w:rPr>
        <w:t>
      по оценке влияния рисков на финансовое состояние банка, в том числе по оценке изменений в доходах и расходах банка, оценке размеров и достаточности собственного капитала, по выявлению основных факторов и причин, вызвавших изменения и влияющих на основные показатели эффективности деятельности;</w:t>
      </w:r>
    </w:p>
    <w:bookmarkEnd w:id="319"/>
    <w:bookmarkStart w:name="z300" w:id="320"/>
    <w:p>
      <w:pPr>
        <w:spacing w:after="0"/>
        <w:ind w:left="0"/>
        <w:jc w:val="both"/>
      </w:pPr>
      <w:r>
        <w:rPr>
          <w:rFonts w:ascii="Times New Roman"/>
          <w:b w:val="false"/>
          <w:i w:val="false"/>
          <w:color w:val="000000"/>
          <w:sz w:val="28"/>
        </w:rPr>
        <w:t>
      11) осуществление контроля за соблюдением правлением банка уровней риск-аппетита;</w:t>
      </w:r>
    </w:p>
    <w:bookmarkEnd w:id="320"/>
    <w:bookmarkStart w:name="z301" w:id="321"/>
    <w:p>
      <w:pPr>
        <w:spacing w:after="0"/>
        <w:ind w:left="0"/>
        <w:jc w:val="both"/>
      </w:pPr>
      <w:r>
        <w:rPr>
          <w:rFonts w:ascii="Times New Roman"/>
          <w:b w:val="false"/>
          <w:i w:val="false"/>
          <w:color w:val="000000"/>
          <w:sz w:val="28"/>
        </w:rPr>
        <w:t>
      12) наличие внутренних моделей и информационных систем для управления рисками банка, а также в целях обеспечения полной, достоверной и своевременной финансовой, регуляторной и управленческой информации;</w:t>
      </w:r>
    </w:p>
    <w:bookmarkEnd w:id="321"/>
    <w:bookmarkStart w:name="z302" w:id="322"/>
    <w:p>
      <w:pPr>
        <w:spacing w:after="0"/>
        <w:ind w:left="0"/>
        <w:jc w:val="both"/>
      </w:pPr>
      <w:r>
        <w:rPr>
          <w:rFonts w:ascii="Times New Roman"/>
          <w:b w:val="false"/>
          <w:i w:val="false"/>
          <w:color w:val="000000"/>
          <w:sz w:val="28"/>
        </w:rPr>
        <w:t>
      13) рассмотрение результатов оценки качества и эффективности функционирования системы управления рисками и внутреннего контроля, корпоративного управления в целом, направленных на обеспечение защиты банка и его репутации для дальнейшего вынесения на утверждение совета директоров банка.</w:t>
      </w:r>
    </w:p>
    <w:bookmarkEnd w:id="322"/>
    <w:bookmarkStart w:name="z303" w:id="323"/>
    <w:p>
      <w:pPr>
        <w:spacing w:after="0"/>
        <w:ind w:left="0"/>
        <w:jc w:val="both"/>
      </w:pPr>
      <w:r>
        <w:rPr>
          <w:rFonts w:ascii="Times New Roman"/>
          <w:b w:val="false"/>
          <w:i w:val="false"/>
          <w:color w:val="000000"/>
          <w:sz w:val="28"/>
        </w:rPr>
        <w:t>
      Комитет по вопросам управления рисками регулярно получает от подразделения (подразделений) по управлению рисками и других ответственных подразделений данные и отчеты о текущем уровне рисков банка, нарушениях уровней риск-аппетита и механизмам по снижению уровня рисков.</w:t>
      </w:r>
    </w:p>
    <w:bookmarkEnd w:id="323"/>
    <w:bookmarkStart w:name="z304" w:id="324"/>
    <w:p>
      <w:pPr>
        <w:spacing w:after="0"/>
        <w:ind w:left="0"/>
        <w:jc w:val="both"/>
      </w:pPr>
      <w:r>
        <w:rPr>
          <w:rFonts w:ascii="Times New Roman"/>
          <w:b w:val="false"/>
          <w:i w:val="false"/>
          <w:color w:val="000000"/>
          <w:sz w:val="28"/>
        </w:rPr>
        <w:t>
      29. Основные требования к составу комитета по вопросам кадров и вознаграждения:</w:t>
      </w:r>
    </w:p>
    <w:bookmarkEnd w:id="324"/>
    <w:bookmarkStart w:name="z305" w:id="325"/>
    <w:p>
      <w:pPr>
        <w:spacing w:after="0"/>
        <w:ind w:left="0"/>
        <w:jc w:val="both"/>
      </w:pPr>
      <w:r>
        <w:rPr>
          <w:rFonts w:ascii="Times New Roman"/>
          <w:b w:val="false"/>
          <w:i w:val="false"/>
          <w:color w:val="000000"/>
          <w:sz w:val="28"/>
        </w:rPr>
        <w:t>
      1) председателем комитета по вопросам кадров и вознаграждения является независимый член совета директор банка;</w:t>
      </w:r>
    </w:p>
    <w:bookmarkEnd w:id="325"/>
    <w:bookmarkStart w:name="z306" w:id="326"/>
    <w:p>
      <w:pPr>
        <w:spacing w:after="0"/>
        <w:ind w:left="0"/>
        <w:jc w:val="both"/>
      </w:pPr>
      <w:r>
        <w:rPr>
          <w:rFonts w:ascii="Times New Roman"/>
          <w:b w:val="false"/>
          <w:i w:val="false"/>
          <w:color w:val="000000"/>
          <w:sz w:val="28"/>
        </w:rPr>
        <w:t>
      2) в состав комитета по вопросам кадров и вознаграждения входит как минимум один член комитета, имеющий опыт работы в сфере управления персоналом.</w:t>
      </w:r>
    </w:p>
    <w:bookmarkEnd w:id="326"/>
    <w:bookmarkStart w:name="z307" w:id="327"/>
    <w:p>
      <w:pPr>
        <w:spacing w:after="0"/>
        <w:ind w:left="0"/>
        <w:jc w:val="both"/>
      </w:pPr>
      <w:r>
        <w:rPr>
          <w:rFonts w:ascii="Times New Roman"/>
          <w:b w:val="false"/>
          <w:i w:val="false"/>
          <w:color w:val="000000"/>
          <w:sz w:val="28"/>
        </w:rPr>
        <w:t>
      30. Комитет по вопросам кадров и вознаграждения несет ответственность за обеспечение разработки:</w:t>
      </w:r>
    </w:p>
    <w:bookmarkEnd w:id="327"/>
    <w:bookmarkStart w:name="z1448" w:id="328"/>
    <w:p>
      <w:pPr>
        <w:spacing w:after="0"/>
        <w:ind w:left="0"/>
        <w:jc w:val="both"/>
      </w:pPr>
      <w:r>
        <w:rPr>
          <w:rFonts w:ascii="Times New Roman"/>
          <w:b w:val="false"/>
          <w:i w:val="false"/>
          <w:color w:val="000000"/>
          <w:sz w:val="28"/>
        </w:rPr>
        <w:t>
      1) с учетом минимизации конфликта интересов, проекта организационной структуры банка для дальнейшего утверждения советом директоров банка;</w:t>
      </w:r>
    </w:p>
    <w:bookmarkEnd w:id="328"/>
    <w:bookmarkStart w:name="z1449" w:id="329"/>
    <w:p>
      <w:pPr>
        <w:spacing w:after="0"/>
        <w:ind w:left="0"/>
        <w:jc w:val="both"/>
      </w:pPr>
      <w:r>
        <w:rPr>
          <w:rFonts w:ascii="Times New Roman"/>
          <w:b w:val="false"/>
          <w:i w:val="false"/>
          <w:color w:val="000000"/>
          <w:sz w:val="28"/>
        </w:rPr>
        <w:t>
      2) процедуры по управлению конфликтом интересов и механизмов ее реализации для дальнейшего утверждения соответствующим органом банка;</w:t>
      </w:r>
    </w:p>
    <w:bookmarkEnd w:id="329"/>
    <w:bookmarkStart w:name="z1450" w:id="330"/>
    <w:p>
      <w:pPr>
        <w:spacing w:after="0"/>
        <w:ind w:left="0"/>
        <w:jc w:val="both"/>
      </w:pPr>
      <w:r>
        <w:rPr>
          <w:rFonts w:ascii="Times New Roman"/>
          <w:b w:val="false"/>
          <w:i w:val="false"/>
          <w:color w:val="000000"/>
          <w:sz w:val="28"/>
        </w:rPr>
        <w:t xml:space="preserve">
      3) политики по оплате труда, начислению денежных вознаграждений, а также иных видов материального поощрения руководящих работников банка для дальнейшего вынесения на утверждение совета директоров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зарегистрированным в Реестре государственной регистрации нормативных правовых актов под № 7525.</w:t>
      </w:r>
    </w:p>
    <w:bookmarkEnd w:id="330"/>
    <w:bookmarkStart w:name="z1451" w:id="331"/>
    <w:p>
      <w:pPr>
        <w:spacing w:after="0"/>
        <w:ind w:left="0"/>
        <w:jc w:val="both"/>
      </w:pPr>
      <w:r>
        <w:rPr>
          <w:rFonts w:ascii="Times New Roman"/>
          <w:b w:val="false"/>
          <w:i w:val="false"/>
          <w:color w:val="000000"/>
          <w:sz w:val="28"/>
        </w:rPr>
        <w:t>
      Размер вознаграждения напрямую зависит от соотношения риска к результату. Способы выплаты вознаграждений в счет будущих доходов, срок и вероятность получения которых являются неопределенными, тщательно взвешиваются на основании принятых качественных и количественных показателей. Система вознаграждений предусматривает возможность изменения размера нефиксированного вознаграждения с учетом всех рисков, включая нарушения лимитов риск-аппетита, внутренних процедур или требований уполномоченного органа.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Правления Агентства РК по регулированию и развитию финансового рынка от 30.12.2021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12" w:id="332"/>
    <w:p>
      <w:pPr>
        <w:spacing w:after="0"/>
        <w:ind w:left="0"/>
        <w:jc w:val="both"/>
      </w:pPr>
      <w:r>
        <w:rPr>
          <w:rFonts w:ascii="Times New Roman"/>
          <w:b w:val="false"/>
          <w:i w:val="false"/>
          <w:color w:val="000000"/>
          <w:sz w:val="28"/>
        </w:rPr>
        <w:t>
      31. Основные требования к составу комитета по вопросам стратегического планирования:</w:t>
      </w:r>
    </w:p>
    <w:bookmarkEnd w:id="332"/>
    <w:bookmarkStart w:name="z313" w:id="333"/>
    <w:p>
      <w:pPr>
        <w:spacing w:after="0"/>
        <w:ind w:left="0"/>
        <w:jc w:val="both"/>
      </w:pPr>
      <w:r>
        <w:rPr>
          <w:rFonts w:ascii="Times New Roman"/>
          <w:b w:val="false"/>
          <w:i w:val="false"/>
          <w:color w:val="000000"/>
          <w:sz w:val="28"/>
        </w:rPr>
        <w:t>
      1) председателем комитета по стратегическому планированию является независимый член совета директоров банка;</w:t>
      </w:r>
    </w:p>
    <w:bookmarkEnd w:id="333"/>
    <w:bookmarkStart w:name="z314" w:id="334"/>
    <w:p>
      <w:pPr>
        <w:spacing w:after="0"/>
        <w:ind w:left="0"/>
        <w:jc w:val="both"/>
      </w:pPr>
      <w:r>
        <w:rPr>
          <w:rFonts w:ascii="Times New Roman"/>
          <w:b w:val="false"/>
          <w:i w:val="false"/>
          <w:color w:val="000000"/>
          <w:sz w:val="28"/>
        </w:rPr>
        <w:t>
      2) в состав комитета по вопросам стратегического планирования входит как минимум один член комитета, имеющий опыт работы в одной из следующих сфер:</w:t>
      </w:r>
    </w:p>
    <w:bookmarkEnd w:id="334"/>
    <w:bookmarkStart w:name="z315" w:id="335"/>
    <w:p>
      <w:pPr>
        <w:spacing w:after="0"/>
        <w:ind w:left="0"/>
        <w:jc w:val="both"/>
      </w:pPr>
      <w:r>
        <w:rPr>
          <w:rFonts w:ascii="Times New Roman"/>
          <w:b w:val="false"/>
          <w:i w:val="false"/>
          <w:color w:val="000000"/>
          <w:sz w:val="28"/>
        </w:rPr>
        <w:t xml:space="preserve">
      развитие информационных технологий; </w:t>
      </w:r>
    </w:p>
    <w:bookmarkEnd w:id="335"/>
    <w:bookmarkStart w:name="z316" w:id="336"/>
    <w:p>
      <w:pPr>
        <w:spacing w:after="0"/>
        <w:ind w:left="0"/>
        <w:jc w:val="both"/>
      </w:pPr>
      <w:r>
        <w:rPr>
          <w:rFonts w:ascii="Times New Roman"/>
          <w:b w:val="false"/>
          <w:i w:val="false"/>
          <w:color w:val="000000"/>
          <w:sz w:val="28"/>
        </w:rPr>
        <w:t xml:space="preserve">
      развитие и оказания банковских услуг; </w:t>
      </w:r>
    </w:p>
    <w:bookmarkEnd w:id="336"/>
    <w:bookmarkStart w:name="z317" w:id="337"/>
    <w:p>
      <w:pPr>
        <w:spacing w:after="0"/>
        <w:ind w:left="0"/>
        <w:jc w:val="both"/>
      </w:pPr>
      <w:r>
        <w:rPr>
          <w:rFonts w:ascii="Times New Roman"/>
          <w:b w:val="false"/>
          <w:i w:val="false"/>
          <w:color w:val="000000"/>
          <w:sz w:val="28"/>
        </w:rPr>
        <w:t xml:space="preserve">
      управление рисками; </w:t>
      </w:r>
    </w:p>
    <w:bookmarkEnd w:id="337"/>
    <w:bookmarkStart w:name="z318" w:id="338"/>
    <w:p>
      <w:pPr>
        <w:spacing w:after="0"/>
        <w:ind w:left="0"/>
        <w:jc w:val="both"/>
      </w:pPr>
      <w:r>
        <w:rPr>
          <w:rFonts w:ascii="Times New Roman"/>
          <w:b w:val="false"/>
          <w:i w:val="false"/>
          <w:color w:val="000000"/>
          <w:sz w:val="28"/>
        </w:rPr>
        <w:t>
      бюджетное планирование.</w:t>
      </w:r>
    </w:p>
    <w:bookmarkEnd w:id="338"/>
    <w:bookmarkStart w:name="z319" w:id="339"/>
    <w:p>
      <w:pPr>
        <w:spacing w:after="0"/>
        <w:ind w:left="0"/>
        <w:jc w:val="both"/>
      </w:pPr>
      <w:r>
        <w:rPr>
          <w:rFonts w:ascii="Times New Roman"/>
          <w:b w:val="false"/>
          <w:i w:val="false"/>
          <w:color w:val="000000"/>
          <w:sz w:val="28"/>
        </w:rPr>
        <w:t>
      32. Комитет по вопросам стратегического планирования несет ответственность за предварительное рассмотрение:</w:t>
      </w:r>
    </w:p>
    <w:bookmarkEnd w:id="339"/>
    <w:bookmarkStart w:name="z320" w:id="340"/>
    <w:p>
      <w:pPr>
        <w:spacing w:after="0"/>
        <w:ind w:left="0"/>
        <w:jc w:val="both"/>
      </w:pPr>
      <w:r>
        <w:rPr>
          <w:rFonts w:ascii="Times New Roman"/>
          <w:b w:val="false"/>
          <w:i w:val="false"/>
          <w:color w:val="000000"/>
          <w:sz w:val="28"/>
        </w:rPr>
        <w:t>
      1)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профилю рисков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340"/>
    <w:bookmarkStart w:name="z321" w:id="341"/>
    <w:p>
      <w:pPr>
        <w:spacing w:after="0"/>
        <w:ind w:left="0"/>
        <w:jc w:val="both"/>
      </w:pPr>
      <w:r>
        <w:rPr>
          <w:rFonts w:ascii="Times New Roman"/>
          <w:b w:val="false"/>
          <w:i w:val="false"/>
          <w:color w:val="000000"/>
          <w:sz w:val="28"/>
        </w:rPr>
        <w:t>
      2) проекта бюджета банка на соответствующий год для дальнейшего вынесения на утверждение совета директоров банка, а также за осуществление контроля над его исполнением;</w:t>
      </w:r>
    </w:p>
    <w:bookmarkEnd w:id="341"/>
    <w:bookmarkStart w:name="z322" w:id="342"/>
    <w:p>
      <w:pPr>
        <w:spacing w:after="0"/>
        <w:ind w:left="0"/>
        <w:jc w:val="both"/>
      </w:pPr>
      <w:r>
        <w:rPr>
          <w:rFonts w:ascii="Times New Roman"/>
          <w:b w:val="false"/>
          <w:i w:val="false"/>
          <w:color w:val="000000"/>
          <w:sz w:val="28"/>
        </w:rPr>
        <w:t>
      3)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и контроля соблюдения банком и его работниками указанной политики;</w:t>
      </w:r>
    </w:p>
    <w:bookmarkEnd w:id="342"/>
    <w:bookmarkStart w:name="z323" w:id="343"/>
    <w:p>
      <w:pPr>
        <w:spacing w:after="0"/>
        <w:ind w:left="0"/>
        <w:jc w:val="both"/>
      </w:pPr>
      <w:r>
        <w:rPr>
          <w:rFonts w:ascii="Times New Roman"/>
          <w:b w:val="false"/>
          <w:i w:val="false"/>
          <w:color w:val="000000"/>
          <w:sz w:val="28"/>
        </w:rPr>
        <w:t>
      4) документов, выносимых на рассмотрение совета директоров банка, содержащих информацию о ходе исполнения стратегии, планов развития, достижении целевых значений стратегических ключевых показателей деятельности банка.</w:t>
      </w:r>
    </w:p>
    <w:bookmarkEnd w:id="343"/>
    <w:bookmarkStart w:name="z324" w:id="344"/>
    <w:p>
      <w:pPr>
        <w:spacing w:after="0"/>
        <w:ind w:left="0"/>
        <w:jc w:val="both"/>
      </w:pPr>
      <w:r>
        <w:rPr>
          <w:rFonts w:ascii="Times New Roman"/>
          <w:b w:val="false"/>
          <w:i w:val="false"/>
          <w:color w:val="000000"/>
          <w:sz w:val="28"/>
        </w:rPr>
        <w:t>
      33. Правление банка осуществляет руководство текущей деятельностью банка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советом директоров банка. Правление банка отвечает за:</w:t>
      </w:r>
    </w:p>
    <w:bookmarkEnd w:id="344"/>
    <w:bookmarkStart w:name="z4615" w:id="345"/>
    <w:p>
      <w:pPr>
        <w:spacing w:after="0"/>
        <w:ind w:left="0"/>
        <w:jc w:val="both"/>
      </w:pPr>
      <w:r>
        <w:rPr>
          <w:rFonts w:ascii="Times New Roman"/>
          <w:b w:val="false"/>
          <w:i w:val="false"/>
          <w:color w:val="000000"/>
          <w:sz w:val="28"/>
        </w:rPr>
        <w:t>
      1) обеспечение исполнения стратегии банка, соблюдение утвержденных советом директоров банка процедур, процессов и политик;</w:t>
      </w:r>
    </w:p>
    <w:bookmarkEnd w:id="345"/>
    <w:bookmarkStart w:name="z4616" w:id="346"/>
    <w:p>
      <w:pPr>
        <w:spacing w:after="0"/>
        <w:ind w:left="0"/>
        <w:jc w:val="both"/>
      </w:pPr>
      <w:r>
        <w:rPr>
          <w:rFonts w:ascii="Times New Roman"/>
          <w:b w:val="false"/>
          <w:i w:val="false"/>
          <w:color w:val="000000"/>
          <w:sz w:val="28"/>
        </w:rPr>
        <w:t>
      2) разработку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346"/>
    <w:bookmarkStart w:name="z4617" w:id="347"/>
    <w:p>
      <w:pPr>
        <w:spacing w:after="0"/>
        <w:ind w:left="0"/>
        <w:jc w:val="both"/>
      </w:pPr>
      <w:r>
        <w:rPr>
          <w:rFonts w:ascii="Times New Roman"/>
          <w:b w:val="false"/>
          <w:i w:val="false"/>
          <w:color w:val="000000"/>
          <w:sz w:val="28"/>
        </w:rPr>
        <w:t>
      3) разработку проекта бюджета банка на соответствующий год для дальнейшего вынесения на утверждение совета директоров банка;</w:t>
      </w:r>
    </w:p>
    <w:bookmarkEnd w:id="347"/>
    <w:bookmarkStart w:name="z4618" w:id="348"/>
    <w:p>
      <w:pPr>
        <w:spacing w:after="0"/>
        <w:ind w:left="0"/>
        <w:jc w:val="both"/>
      </w:pPr>
      <w:r>
        <w:rPr>
          <w:rFonts w:ascii="Times New Roman"/>
          <w:b w:val="false"/>
          <w:i w:val="false"/>
          <w:color w:val="000000"/>
          <w:sz w:val="28"/>
        </w:rPr>
        <w:t>
      4) разработку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соблюдения банком и его работниками указанной политики;</w:t>
      </w:r>
    </w:p>
    <w:bookmarkEnd w:id="348"/>
    <w:bookmarkStart w:name="z4619" w:id="349"/>
    <w:p>
      <w:pPr>
        <w:spacing w:after="0"/>
        <w:ind w:left="0"/>
        <w:jc w:val="both"/>
      </w:pPr>
      <w:r>
        <w:rPr>
          <w:rFonts w:ascii="Times New Roman"/>
          <w:b w:val="false"/>
          <w:i w:val="false"/>
          <w:color w:val="000000"/>
          <w:sz w:val="28"/>
        </w:rPr>
        <w:t>
      5) разработку внутреннего порядка, определяющего доведение стратегии, политик и иных внутренних документов банка в течение 10 (десяти) рабочих дней со дня утверждения и (или) внесения в них изменений и дополнений до работников банка по закрепленным за ним участкам деятельности, и за осуществление мониторинга соблюдения банком и его работниками требований Правил;</w:t>
      </w:r>
    </w:p>
    <w:bookmarkEnd w:id="349"/>
    <w:bookmarkStart w:name="z4620" w:id="350"/>
    <w:p>
      <w:pPr>
        <w:spacing w:after="0"/>
        <w:ind w:left="0"/>
        <w:jc w:val="both"/>
      </w:pPr>
      <w:r>
        <w:rPr>
          <w:rFonts w:ascii="Times New Roman"/>
          <w:b w:val="false"/>
          <w:i w:val="false"/>
          <w:color w:val="000000"/>
          <w:sz w:val="28"/>
        </w:rPr>
        <w:t>
      6) разработку кадровой политики банка для дальнейшего утверждения советом директоров банка, а также за осуществление мониторинга ее соответствия стратегии, организационной структуре, риск-профилю банка, достигнутым результатам и требованиям трудового, банковского законодательства Республики Казахстан, законодательства Республики Казахстан об акционерных обществах.</w:t>
      </w:r>
    </w:p>
    <w:bookmarkEnd w:id="350"/>
    <w:bookmarkStart w:name="z4621" w:id="351"/>
    <w:p>
      <w:pPr>
        <w:spacing w:after="0"/>
        <w:ind w:left="0"/>
        <w:jc w:val="both"/>
      </w:pPr>
      <w:r>
        <w:rPr>
          <w:rFonts w:ascii="Times New Roman"/>
          <w:b w:val="false"/>
          <w:i w:val="false"/>
          <w:color w:val="000000"/>
          <w:sz w:val="28"/>
        </w:rPr>
        <w:t>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351"/>
    <w:bookmarkStart w:name="z4622" w:id="352"/>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банка;</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подпункта 6)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625" w:id="353"/>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353"/>
    <w:bookmarkStart w:name="z4626" w:id="354"/>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354"/>
    <w:bookmarkStart w:name="z4627" w:id="355"/>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355"/>
    <w:bookmarkStart w:name="z4628" w:id="356"/>
    <w:p>
      <w:pPr>
        <w:spacing w:after="0"/>
        <w:ind w:left="0"/>
        <w:jc w:val="both"/>
      </w:pPr>
      <w:r>
        <w:rPr>
          <w:rFonts w:ascii="Times New Roman"/>
          <w:b w:val="false"/>
          <w:i w:val="false"/>
          <w:color w:val="000000"/>
          <w:sz w:val="28"/>
        </w:rPr>
        <w:t>
      внутренний порядок оплаты труда работников, включая порядок выплаты вознаграждений, а также других видов материального поощрения;</w:t>
      </w:r>
    </w:p>
    <w:bookmarkEnd w:id="356"/>
    <w:bookmarkStart w:name="z4629" w:id="357"/>
    <w:p>
      <w:pPr>
        <w:spacing w:after="0"/>
        <w:ind w:left="0"/>
        <w:jc w:val="both"/>
      </w:pPr>
      <w:r>
        <w:rPr>
          <w:rFonts w:ascii="Times New Roman"/>
          <w:b w:val="false"/>
          <w:i w:val="false"/>
          <w:color w:val="000000"/>
          <w:sz w:val="28"/>
        </w:rPr>
        <w:t>
      проведение оценки эффективности работы работников банка;</w:t>
      </w:r>
    </w:p>
    <w:bookmarkEnd w:id="357"/>
    <w:bookmarkStart w:name="z4630" w:id="358"/>
    <w:p>
      <w:pPr>
        <w:spacing w:after="0"/>
        <w:ind w:left="0"/>
        <w:jc w:val="both"/>
      </w:pPr>
      <w:r>
        <w:rPr>
          <w:rFonts w:ascii="Times New Roman"/>
          <w:b w:val="false"/>
          <w:i w:val="false"/>
          <w:color w:val="000000"/>
          <w:sz w:val="28"/>
        </w:rPr>
        <w:t>
      7) разработку тарифной политики для дальнейшего вынесения на утверждение совета директоров, а также за осуществление мониторинга соблюдения банком и его работниками тарифной политики;</w:t>
      </w:r>
    </w:p>
    <w:bookmarkEnd w:id="358"/>
    <w:bookmarkStart w:name="z4631" w:id="359"/>
    <w:p>
      <w:pPr>
        <w:spacing w:after="0"/>
        <w:ind w:left="0"/>
        <w:jc w:val="both"/>
      </w:pPr>
      <w:r>
        <w:rPr>
          <w:rFonts w:ascii="Times New Roman"/>
          <w:b w:val="false"/>
          <w:i w:val="false"/>
          <w:color w:val="000000"/>
          <w:sz w:val="28"/>
        </w:rPr>
        <w:t>
      8) разработку кредитной политики банка для дальнейшего вынесения на рассмотрение комитета по управлению рисками и на утверждение совета директоров банка;</w:t>
      </w:r>
    </w:p>
    <w:bookmarkEnd w:id="359"/>
    <w:bookmarkStart w:name="z4632" w:id="360"/>
    <w:p>
      <w:pPr>
        <w:spacing w:after="0"/>
        <w:ind w:left="0"/>
        <w:jc w:val="both"/>
      </w:pPr>
      <w:r>
        <w:rPr>
          <w:rFonts w:ascii="Times New Roman"/>
          <w:b w:val="false"/>
          <w:i w:val="false"/>
          <w:color w:val="000000"/>
          <w:sz w:val="28"/>
        </w:rPr>
        <w:t>
      9) утверждение плана (планов) по обеспечению непрерывности и (или) восстановлению деятельности;</w:t>
      </w:r>
    </w:p>
    <w:bookmarkEnd w:id="360"/>
    <w:bookmarkStart w:name="z4633" w:id="361"/>
    <w:p>
      <w:pPr>
        <w:spacing w:after="0"/>
        <w:ind w:left="0"/>
        <w:jc w:val="both"/>
      </w:pPr>
      <w:r>
        <w:rPr>
          <w:rFonts w:ascii="Times New Roman"/>
          <w:b w:val="false"/>
          <w:i w:val="false"/>
          <w:color w:val="000000"/>
          <w:sz w:val="28"/>
        </w:rPr>
        <w:t>
      10) предоставление совету директоров банка необходимой информации для контроля и оценки качества работы правления в соответствии с установленными внутренними документами банка и Правилами, которая включает:</w:t>
      </w:r>
    </w:p>
    <w:bookmarkEnd w:id="361"/>
    <w:bookmarkStart w:name="z4634" w:id="362"/>
    <w:p>
      <w:pPr>
        <w:spacing w:after="0"/>
        <w:ind w:left="0"/>
        <w:jc w:val="both"/>
      </w:pPr>
      <w:r>
        <w:rPr>
          <w:rFonts w:ascii="Times New Roman"/>
          <w:b w:val="false"/>
          <w:i w:val="false"/>
          <w:color w:val="000000"/>
          <w:sz w:val="28"/>
        </w:rPr>
        <w:t>
      достижение правлением банка целей, установленных в стратегии банка с указанием, при наличии, причин, препятствующих их достижению;</w:t>
      </w:r>
    </w:p>
    <w:bookmarkEnd w:id="362"/>
    <w:bookmarkStart w:name="z4635" w:id="363"/>
    <w:p>
      <w:pPr>
        <w:spacing w:after="0"/>
        <w:ind w:left="0"/>
        <w:jc w:val="both"/>
      </w:pPr>
      <w:r>
        <w:rPr>
          <w:rFonts w:ascii="Times New Roman"/>
          <w:b w:val="false"/>
          <w:i w:val="false"/>
          <w:color w:val="000000"/>
          <w:sz w:val="28"/>
        </w:rPr>
        <w:t>
      соответствие деятельности банка стратегии и политикам, утвержденным советом директоров банка;</w:t>
      </w:r>
    </w:p>
    <w:bookmarkEnd w:id="363"/>
    <w:bookmarkStart w:name="z4636" w:id="364"/>
    <w:p>
      <w:pPr>
        <w:spacing w:after="0"/>
        <w:ind w:left="0"/>
        <w:jc w:val="both"/>
      </w:pPr>
      <w:r>
        <w:rPr>
          <w:rFonts w:ascii="Times New Roman"/>
          <w:b w:val="false"/>
          <w:i w:val="false"/>
          <w:color w:val="000000"/>
          <w:sz w:val="28"/>
        </w:rPr>
        <w:t>
      результаты деятельности банка и его финансовое положение, в том числе информацию об устойчивости (волатильности) доходности банка;</w:t>
      </w:r>
    </w:p>
    <w:bookmarkEnd w:id="364"/>
    <w:bookmarkStart w:name="z4637" w:id="365"/>
    <w:p>
      <w:pPr>
        <w:spacing w:after="0"/>
        <w:ind w:left="0"/>
        <w:jc w:val="both"/>
      </w:pPr>
      <w:r>
        <w:rPr>
          <w:rFonts w:ascii="Times New Roman"/>
          <w:b w:val="false"/>
          <w:i w:val="false"/>
          <w:color w:val="000000"/>
          <w:sz w:val="28"/>
        </w:rPr>
        <w:t>
      несоответствие принимаемых решений банка утвержденным советом директоров банка процедурам, процессам и политикам;</w:t>
      </w:r>
    </w:p>
    <w:bookmarkEnd w:id="365"/>
    <w:bookmarkStart w:name="z4638" w:id="366"/>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366"/>
    <w:bookmarkStart w:name="z4639" w:id="367"/>
    <w:p>
      <w:pPr>
        <w:spacing w:after="0"/>
        <w:ind w:left="0"/>
        <w:jc w:val="both"/>
      </w:pPr>
      <w:r>
        <w:rPr>
          <w:rFonts w:ascii="Times New Roman"/>
          <w:b w:val="false"/>
          <w:i w:val="false"/>
          <w:color w:val="000000"/>
          <w:sz w:val="28"/>
        </w:rPr>
        <w:t>
      информацию о своевременности, полноте и качестве устранения правлением банка нарушений и недостатков, выявленных подразделениями по комплаенс-контролю, управлению рисками, внутреннего контроля, внутреннего аудита, и внешним аудитом и уполномоченным органом, а также выполнения их рекомендаций;</w:t>
      </w:r>
    </w:p>
    <w:bookmarkEnd w:id="367"/>
    <w:bookmarkStart w:name="z4640" w:id="368"/>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финансовой и регуляторной отчетности, нарушениях внутренних документов банка,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исключения конфликтов интересов и внутренних злоупотреблений и мошенничества, в том числе в отношении лиц, связанных с банком особыми отношениями;</w:t>
      </w:r>
    </w:p>
    <w:bookmarkEnd w:id="368"/>
    <w:bookmarkStart w:name="z4641" w:id="369"/>
    <w:p>
      <w:pPr>
        <w:spacing w:after="0"/>
        <w:ind w:left="0"/>
        <w:jc w:val="both"/>
      </w:pPr>
      <w:r>
        <w:rPr>
          <w:rFonts w:ascii="Times New Roman"/>
          <w:b w:val="false"/>
          <w:i w:val="false"/>
          <w:color w:val="000000"/>
          <w:sz w:val="28"/>
        </w:rPr>
        <w:t>
      11) разработку внутреннего порядка рассмотрения обращений клиентов, возникающих в процессе предоставления банковских услуг, а также за осуществление мониторинга соблюдения банком требований, указанных в настоящем подпункте.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369"/>
    <w:bookmarkStart w:name="z4642" w:id="370"/>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банк, и ответов на обращения клиентов;</w:t>
      </w:r>
    </w:p>
    <w:bookmarkEnd w:id="370"/>
    <w:bookmarkStart w:name="z4643" w:id="371"/>
    <w:p>
      <w:pPr>
        <w:spacing w:after="0"/>
        <w:ind w:left="0"/>
        <w:jc w:val="both"/>
      </w:pPr>
      <w:r>
        <w:rPr>
          <w:rFonts w:ascii="Times New Roman"/>
          <w:b w:val="false"/>
          <w:i w:val="false"/>
          <w:color w:val="000000"/>
          <w:sz w:val="28"/>
        </w:rPr>
        <w:t>
      структурное подразделение банка, ответственное за ведение делопроизводства по обращениям клиентов;</w:t>
      </w:r>
    </w:p>
    <w:bookmarkEnd w:id="371"/>
    <w:bookmarkStart w:name="z4644" w:id="372"/>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372"/>
    <w:bookmarkStart w:name="z4645" w:id="373"/>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373"/>
    <w:bookmarkStart w:name="z4646" w:id="374"/>
    <w:p>
      <w:pPr>
        <w:spacing w:after="0"/>
        <w:ind w:left="0"/>
        <w:jc w:val="both"/>
      </w:pPr>
      <w:r>
        <w:rPr>
          <w:rFonts w:ascii="Times New Roman"/>
          <w:b w:val="false"/>
          <w:i w:val="false"/>
          <w:color w:val="000000"/>
          <w:sz w:val="28"/>
        </w:rPr>
        <w:t>
      внутренний порядок взаимодействия структурных подразделений банка при рассмотрении обращений клиентов и подготовке ответов на обращения клиентов;</w:t>
      </w:r>
    </w:p>
    <w:bookmarkEnd w:id="374"/>
    <w:bookmarkStart w:name="z4647" w:id="375"/>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банка;</w:t>
      </w:r>
    </w:p>
    <w:bookmarkEnd w:id="375"/>
    <w:bookmarkStart w:name="z4648" w:id="376"/>
    <w:p>
      <w:pPr>
        <w:spacing w:after="0"/>
        <w:ind w:left="0"/>
        <w:jc w:val="both"/>
      </w:pPr>
      <w:r>
        <w:rPr>
          <w:rFonts w:ascii="Times New Roman"/>
          <w:b w:val="false"/>
          <w:i w:val="false"/>
          <w:color w:val="000000"/>
          <w:sz w:val="28"/>
        </w:rPr>
        <w:t>
      12)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13), 14), 15), 16), 17), 18), 19) и 20) пункта 33 </w:t>
      </w:r>
      <w:r>
        <w:rPr>
          <w:rFonts w:ascii="Times New Roman"/>
          <w:b w:val="false"/>
          <w:i w:val="false"/>
          <w:color w:val="ff0000"/>
          <w:sz w:val="28"/>
        </w:rPr>
        <w:t>вводятся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p>
    <w:bookmarkStart w:name="z4657" w:id="377"/>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w:t>
      </w:r>
    </w:p>
    <w:bookmarkEnd w:id="377"/>
    <w:bookmarkStart w:name="z4658" w:id="378"/>
    <w:p>
      <w:pPr>
        <w:spacing w:after="0"/>
        <w:ind w:left="0"/>
        <w:jc w:val="both"/>
      </w:pPr>
      <w:r>
        <w:rPr>
          <w:rFonts w:ascii="Times New Roman"/>
          <w:b w:val="false"/>
          <w:i w:val="false"/>
          <w:color w:val="000000"/>
          <w:sz w:val="28"/>
        </w:rPr>
        <w:t>
      1) разработку проекта стратегии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378"/>
    <w:bookmarkStart w:name="z4659" w:id="379"/>
    <w:p>
      <w:pPr>
        <w:spacing w:after="0"/>
        <w:ind w:left="0"/>
        <w:jc w:val="both"/>
      </w:pPr>
      <w:r>
        <w:rPr>
          <w:rFonts w:ascii="Times New Roman"/>
          <w:b w:val="false"/>
          <w:i w:val="false"/>
          <w:color w:val="000000"/>
          <w:sz w:val="28"/>
        </w:rPr>
        <w:t>
      2) разработку проекта бюджета филиала банка-нерезидента Республики Казахстан на соответствующий год для дальнейшего вынесения на утверждение соответствующего органа управления банка-нерезидента Республики Казахстан;</w:t>
      </w:r>
    </w:p>
    <w:bookmarkEnd w:id="379"/>
    <w:bookmarkStart w:name="z4660" w:id="380"/>
    <w:p>
      <w:pPr>
        <w:spacing w:after="0"/>
        <w:ind w:left="0"/>
        <w:jc w:val="both"/>
      </w:pPr>
      <w:r>
        <w:rPr>
          <w:rFonts w:ascii="Times New Roman"/>
          <w:b w:val="false"/>
          <w:i w:val="false"/>
          <w:color w:val="000000"/>
          <w:sz w:val="28"/>
        </w:rPr>
        <w:t>
      3) разработку проекта политики управления рентабельностью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380"/>
    <w:bookmarkStart w:name="z4661" w:id="381"/>
    <w:p>
      <w:pPr>
        <w:spacing w:after="0"/>
        <w:ind w:left="0"/>
        <w:jc w:val="both"/>
      </w:pPr>
      <w:r>
        <w:rPr>
          <w:rFonts w:ascii="Times New Roman"/>
          <w:b w:val="false"/>
          <w:i w:val="false"/>
          <w:color w:val="000000"/>
          <w:sz w:val="28"/>
        </w:rPr>
        <w:t>
      4) разработку внутреннего порядка, определяющего доведение стратегии, политик и иных внутренних документов банка-нерезидента Республики Казахстан в течение 10 (десяти) рабочих дней со дня утверждения и (или) внесения в них изменений и дополнений до работников филиала банка-нерезидента Республики Казахстан по закрепленным за ним участкам деятельности;</w:t>
      </w:r>
    </w:p>
    <w:bookmarkEnd w:id="381"/>
    <w:bookmarkStart w:name="z4662" w:id="382"/>
    <w:p>
      <w:pPr>
        <w:spacing w:after="0"/>
        <w:ind w:left="0"/>
        <w:jc w:val="both"/>
      </w:pPr>
      <w:r>
        <w:rPr>
          <w:rFonts w:ascii="Times New Roman"/>
          <w:b w:val="false"/>
          <w:i w:val="false"/>
          <w:color w:val="000000"/>
          <w:sz w:val="28"/>
        </w:rPr>
        <w:t>
      5) разработку кадровой политики филиала банка-нерезидента Республики Казахстан для дальнейшего утверждения соответствующего органа управления банка-нерезидента Республики Казахстан.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382"/>
    <w:bookmarkStart w:name="z4663" w:id="383"/>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филиала банка-нерезидента Республики Казахстан;</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подпункта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666" w:id="384"/>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384"/>
    <w:bookmarkStart w:name="z4667" w:id="385"/>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385"/>
    <w:bookmarkStart w:name="z4668" w:id="386"/>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386"/>
    <w:bookmarkStart w:name="z4669" w:id="387"/>
    <w:p>
      <w:pPr>
        <w:spacing w:after="0"/>
        <w:ind w:left="0"/>
        <w:jc w:val="both"/>
      </w:pPr>
      <w:r>
        <w:rPr>
          <w:rFonts w:ascii="Times New Roman"/>
          <w:b w:val="false"/>
          <w:i w:val="false"/>
          <w:color w:val="000000"/>
          <w:sz w:val="28"/>
        </w:rPr>
        <w:t>
      внутренний порядок оплаты труда работников филиала банка-нерезидента Республики Казахстан, включая порядок выплаты вознаграждений, а также других видов материального поощрения;</w:t>
      </w:r>
    </w:p>
    <w:bookmarkEnd w:id="387"/>
    <w:bookmarkStart w:name="z4670" w:id="388"/>
    <w:p>
      <w:pPr>
        <w:spacing w:after="0"/>
        <w:ind w:left="0"/>
        <w:jc w:val="both"/>
      </w:pPr>
      <w:r>
        <w:rPr>
          <w:rFonts w:ascii="Times New Roman"/>
          <w:b w:val="false"/>
          <w:i w:val="false"/>
          <w:color w:val="000000"/>
          <w:sz w:val="28"/>
        </w:rPr>
        <w:t>
      проведение оценки эффективности работы работников филиала банка-нерезидента Республики Казахстан;</w:t>
      </w:r>
    </w:p>
    <w:bookmarkEnd w:id="388"/>
    <w:bookmarkStart w:name="z4671" w:id="389"/>
    <w:p>
      <w:pPr>
        <w:spacing w:after="0"/>
        <w:ind w:left="0"/>
        <w:jc w:val="both"/>
      </w:pPr>
      <w:r>
        <w:rPr>
          <w:rFonts w:ascii="Times New Roman"/>
          <w:b w:val="false"/>
          <w:i w:val="false"/>
          <w:color w:val="000000"/>
          <w:sz w:val="28"/>
        </w:rPr>
        <w:t>
      6) разработку тарифной политики для дальнейшего вынесения на утверждение соответствующего органа управления банка-нерезидента Республики Казахстан;</w:t>
      </w:r>
    </w:p>
    <w:bookmarkEnd w:id="389"/>
    <w:bookmarkStart w:name="z4672" w:id="390"/>
    <w:p>
      <w:pPr>
        <w:spacing w:after="0"/>
        <w:ind w:left="0"/>
        <w:jc w:val="both"/>
      </w:pPr>
      <w:r>
        <w:rPr>
          <w:rFonts w:ascii="Times New Roman"/>
          <w:b w:val="false"/>
          <w:i w:val="false"/>
          <w:color w:val="000000"/>
          <w:sz w:val="28"/>
        </w:rPr>
        <w:t>
      7) разработку кредитной политики филиала банка-нерезидента Республики Казахстан для дальнейшего вынесения на рассмотрение комитета по управлению рисками и на утверждение соответствующего органа управления банка-нерезидента Республики Казахстан;</w:t>
      </w:r>
    </w:p>
    <w:bookmarkEnd w:id="390"/>
    <w:bookmarkStart w:name="z4673" w:id="391"/>
    <w:p>
      <w:pPr>
        <w:spacing w:after="0"/>
        <w:ind w:left="0"/>
        <w:jc w:val="both"/>
      </w:pPr>
      <w:r>
        <w:rPr>
          <w:rFonts w:ascii="Times New Roman"/>
          <w:b w:val="false"/>
          <w:i w:val="false"/>
          <w:color w:val="000000"/>
          <w:sz w:val="28"/>
        </w:rPr>
        <w:t>
      8) утверждение плана (планов) по обеспечению непрерывности и (или) восстановлению деятельности филиала банка-нерезидента Республики Казахстан;</w:t>
      </w:r>
    </w:p>
    <w:bookmarkEnd w:id="391"/>
    <w:bookmarkStart w:name="z4674" w:id="392"/>
    <w:p>
      <w:pPr>
        <w:spacing w:after="0"/>
        <w:ind w:left="0"/>
        <w:jc w:val="both"/>
      </w:pPr>
      <w:r>
        <w:rPr>
          <w:rFonts w:ascii="Times New Roman"/>
          <w:b w:val="false"/>
          <w:i w:val="false"/>
          <w:color w:val="000000"/>
          <w:sz w:val="28"/>
        </w:rPr>
        <w:t>
      9) разработку внутреннего порядка рассмотрения обращений клиентов, возникающих в процессе предоставления банковских услуг филиалом банка-нерезидента Республики Казахстан. Внутренний порядок рассмотрения обращений клиентов учитывает требования банковского законодательства Республики Казахстан и определяет:</w:t>
      </w:r>
    </w:p>
    <w:bookmarkEnd w:id="392"/>
    <w:bookmarkStart w:name="z4675" w:id="393"/>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филиал банка-нерезидента Республики Казахстан, и ответов на обращения клиентов;</w:t>
      </w:r>
    </w:p>
    <w:bookmarkEnd w:id="393"/>
    <w:bookmarkStart w:name="z4676" w:id="394"/>
    <w:p>
      <w:pPr>
        <w:spacing w:after="0"/>
        <w:ind w:left="0"/>
        <w:jc w:val="both"/>
      </w:pPr>
      <w:r>
        <w:rPr>
          <w:rFonts w:ascii="Times New Roman"/>
          <w:b w:val="false"/>
          <w:i w:val="false"/>
          <w:color w:val="000000"/>
          <w:sz w:val="28"/>
        </w:rPr>
        <w:t>
      структурное подразделение филиала банка-нерезидента Республики Казахстан, ответственное за ведение делопроизводства по обращениям клиентов;</w:t>
      </w:r>
    </w:p>
    <w:bookmarkEnd w:id="394"/>
    <w:bookmarkStart w:name="z4677" w:id="395"/>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395"/>
    <w:bookmarkStart w:name="z4678" w:id="396"/>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396"/>
    <w:bookmarkStart w:name="z4679" w:id="397"/>
    <w:p>
      <w:pPr>
        <w:spacing w:after="0"/>
        <w:ind w:left="0"/>
        <w:jc w:val="both"/>
      </w:pPr>
      <w:r>
        <w:rPr>
          <w:rFonts w:ascii="Times New Roman"/>
          <w:b w:val="false"/>
          <w:i w:val="false"/>
          <w:color w:val="000000"/>
          <w:sz w:val="28"/>
        </w:rPr>
        <w:t>
      внутренний порядок взаимодействия структурных подразделений филиала банка-нерезидента Республики Казахстан при рассмотрении обращений клиентов и подготовке ответов на обращения клиентов;</w:t>
      </w:r>
    </w:p>
    <w:bookmarkEnd w:id="397"/>
    <w:bookmarkStart w:name="z4680" w:id="398"/>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филиала банка-нерезидента Республики Казахстан;</w:t>
      </w:r>
    </w:p>
    <w:bookmarkEnd w:id="398"/>
    <w:bookmarkStart w:name="z4681" w:id="399"/>
    <w:p>
      <w:pPr>
        <w:spacing w:after="0"/>
        <w:ind w:left="0"/>
        <w:jc w:val="both"/>
      </w:pPr>
      <w:r>
        <w:rPr>
          <w:rFonts w:ascii="Times New Roman"/>
          <w:b w:val="false"/>
          <w:i w:val="false"/>
          <w:color w:val="000000"/>
          <w:sz w:val="28"/>
        </w:rPr>
        <w:t>
      10) разработку процедуры и (или) внутреннего порядка отказа от проведения операций, имеющих высокий риск ОД/ФТ, а также расторжения деловых отношений с клиентом с учетом присущих факторов риска;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11), 12), 13), 14), 15), 16), 17) и 18) пункта 33 </w:t>
      </w:r>
      <w:r>
        <w:rPr>
          <w:rFonts w:ascii="Times New Roman"/>
          <w:b w:val="false"/>
          <w:i w:val="false"/>
          <w:color w:val="ff0000"/>
          <w:sz w:val="28"/>
        </w:rPr>
        <w:t>вводятся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p>
    <w:bookmarkStart w:name="z4690" w:id="400"/>
    <w:p>
      <w:pPr>
        <w:spacing w:after="0"/>
        <w:ind w:left="0"/>
        <w:jc w:val="both"/>
      </w:pPr>
      <w:r>
        <w:rPr>
          <w:rFonts w:ascii="Times New Roman"/>
          <w:b w:val="false"/>
          <w:i w:val="false"/>
          <w:color w:val="000000"/>
          <w:sz w:val="28"/>
        </w:rPr>
        <w:t>
      Руководящие работники филиала банка-нерезидента Республики Казахстан осуществляют руководство текущей деятельностью филиала банка-нерезидента Республики Казахстан в соответствии с выбранной бизнес-моделью, масштабом деятельности, видами и сложностью операций, риск-профилем и внутренними документами, утвержденными соответствующим органом управления банка-нерезидента Республики Казахстан, и отвечают за:</w:t>
      </w:r>
    </w:p>
    <w:bookmarkEnd w:id="400"/>
    <w:bookmarkStart w:name="z4691" w:id="401"/>
    <w:p>
      <w:pPr>
        <w:spacing w:after="0"/>
        <w:ind w:left="0"/>
        <w:jc w:val="both"/>
      </w:pPr>
      <w:r>
        <w:rPr>
          <w:rFonts w:ascii="Times New Roman"/>
          <w:b w:val="false"/>
          <w:i w:val="false"/>
          <w:color w:val="000000"/>
          <w:sz w:val="28"/>
        </w:rPr>
        <w:t>
      1) обеспечение исполнения стратегии филиала банка-нерезидента Республики Казахстан, соблюдение утвержденных банком-нерезидентом Республики Казахстан процедур, процессов и политик;</w:t>
      </w:r>
    </w:p>
    <w:bookmarkEnd w:id="401"/>
    <w:bookmarkStart w:name="z4692" w:id="402"/>
    <w:p>
      <w:pPr>
        <w:spacing w:after="0"/>
        <w:ind w:left="0"/>
        <w:jc w:val="both"/>
      </w:pPr>
      <w:r>
        <w:rPr>
          <w:rFonts w:ascii="Times New Roman"/>
          <w:b w:val="false"/>
          <w:i w:val="false"/>
          <w:color w:val="000000"/>
          <w:sz w:val="28"/>
        </w:rPr>
        <w:t>
      2) осуществление мониторинга исполнения стратегии и оценку соответствия стратегии филиала банка-нерезидента Республики Казахстан текущей рыночной и экономической ситуации, риск-профилю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w:t>
      </w:r>
    </w:p>
    <w:bookmarkEnd w:id="402"/>
    <w:bookmarkStart w:name="z4693" w:id="403"/>
    <w:p>
      <w:pPr>
        <w:spacing w:after="0"/>
        <w:ind w:left="0"/>
        <w:jc w:val="both"/>
      </w:pPr>
      <w:r>
        <w:rPr>
          <w:rFonts w:ascii="Times New Roman"/>
          <w:b w:val="false"/>
          <w:i w:val="false"/>
          <w:color w:val="000000"/>
          <w:sz w:val="28"/>
        </w:rPr>
        <w:t>
      3) осуществление мониторинга соблюдения филиалом банка-нерезидента Республики Казахстан и его работниками политики управления рентабельностью филиала банка-нерезидента Республики Казахстан;</w:t>
      </w:r>
    </w:p>
    <w:bookmarkEnd w:id="403"/>
    <w:bookmarkStart w:name="z4694" w:id="404"/>
    <w:p>
      <w:pPr>
        <w:spacing w:after="0"/>
        <w:ind w:left="0"/>
        <w:jc w:val="both"/>
      </w:pPr>
      <w:r>
        <w:rPr>
          <w:rFonts w:ascii="Times New Roman"/>
          <w:b w:val="false"/>
          <w:i w:val="false"/>
          <w:color w:val="000000"/>
          <w:sz w:val="28"/>
        </w:rPr>
        <w:t>
      4) осуществление мониторинга соответствия кадровой политики филиала банка-нерезидента Республики Казахстан стратегии, организационной структуре, риск-профилю филиала банка-нерезидента Республики Казахстан, достигнутым результатам и требованиям трудового, банковского законодательства Республики Казахстан;</w:t>
      </w:r>
    </w:p>
    <w:bookmarkEnd w:id="404"/>
    <w:bookmarkStart w:name="z4695" w:id="405"/>
    <w:p>
      <w:pPr>
        <w:spacing w:after="0"/>
        <w:ind w:left="0"/>
        <w:jc w:val="both"/>
      </w:pPr>
      <w:r>
        <w:rPr>
          <w:rFonts w:ascii="Times New Roman"/>
          <w:b w:val="false"/>
          <w:i w:val="false"/>
          <w:color w:val="000000"/>
          <w:sz w:val="28"/>
        </w:rPr>
        <w:t>
      5) осуществление мониторинга соблюдения филиалом банка-нерезидента Республики Казахстан и его работниками тарифной политики;</w:t>
      </w:r>
    </w:p>
    <w:bookmarkEnd w:id="405"/>
    <w:bookmarkStart w:name="z4696" w:id="406"/>
    <w:p>
      <w:pPr>
        <w:spacing w:after="0"/>
        <w:ind w:left="0"/>
        <w:jc w:val="both"/>
      </w:pPr>
      <w:r>
        <w:rPr>
          <w:rFonts w:ascii="Times New Roman"/>
          <w:b w:val="false"/>
          <w:i w:val="false"/>
          <w:color w:val="000000"/>
          <w:sz w:val="28"/>
        </w:rPr>
        <w:t>
      6) предоставление соответствующему органу управления банка-нерезидента Республики Казахстан необходимой информации для контроля и оценки качества работы руководящих работников филиала банка-нерезидента Республики Казахстан в соответствии с установленными внутренними документами банка-нерезидента Республики Казахстан и Правилами, которая включает:</w:t>
      </w:r>
    </w:p>
    <w:bookmarkEnd w:id="406"/>
    <w:bookmarkStart w:name="z4697" w:id="407"/>
    <w:p>
      <w:pPr>
        <w:spacing w:after="0"/>
        <w:ind w:left="0"/>
        <w:jc w:val="both"/>
      </w:pPr>
      <w:r>
        <w:rPr>
          <w:rFonts w:ascii="Times New Roman"/>
          <w:b w:val="false"/>
          <w:i w:val="false"/>
          <w:color w:val="000000"/>
          <w:sz w:val="28"/>
        </w:rPr>
        <w:t>
      достижение руководящими работниками филиала банка-нерезидента Республики Казахстан целей, установленных в стратегии филиала банка-нерезидента Республики Казахстан, с указанием, при наличии, причин, препятствующих их достижению;</w:t>
      </w:r>
    </w:p>
    <w:bookmarkEnd w:id="407"/>
    <w:bookmarkStart w:name="z4698" w:id="408"/>
    <w:p>
      <w:pPr>
        <w:spacing w:after="0"/>
        <w:ind w:left="0"/>
        <w:jc w:val="both"/>
      </w:pPr>
      <w:r>
        <w:rPr>
          <w:rFonts w:ascii="Times New Roman"/>
          <w:b w:val="false"/>
          <w:i w:val="false"/>
          <w:color w:val="000000"/>
          <w:sz w:val="28"/>
        </w:rPr>
        <w:t>
      соответствие деятельности филиала банка-нерезидента Республики Казахстан стратегии и политикам, утвержденным соответствующим органом управления банка-нерезидента Республики Казахстан;</w:t>
      </w:r>
    </w:p>
    <w:bookmarkEnd w:id="408"/>
    <w:bookmarkStart w:name="z4699" w:id="409"/>
    <w:p>
      <w:pPr>
        <w:spacing w:after="0"/>
        <w:ind w:left="0"/>
        <w:jc w:val="both"/>
      </w:pPr>
      <w:r>
        <w:rPr>
          <w:rFonts w:ascii="Times New Roman"/>
          <w:b w:val="false"/>
          <w:i w:val="false"/>
          <w:color w:val="000000"/>
          <w:sz w:val="28"/>
        </w:rPr>
        <w:t>
      результаты деятельности филиала банка-нерезидента Республики Казахстан и его финансовое положение, в том числе информацию об устойчивости (волатильности) доходности филиала банка-нерезидента Республики Казахстан;</w:t>
      </w:r>
    </w:p>
    <w:bookmarkEnd w:id="409"/>
    <w:bookmarkStart w:name="z4700" w:id="410"/>
    <w:p>
      <w:pPr>
        <w:spacing w:after="0"/>
        <w:ind w:left="0"/>
        <w:jc w:val="both"/>
      </w:pPr>
      <w:r>
        <w:rPr>
          <w:rFonts w:ascii="Times New Roman"/>
          <w:b w:val="false"/>
          <w:i w:val="false"/>
          <w:color w:val="000000"/>
          <w:sz w:val="28"/>
        </w:rPr>
        <w:t>
      несоответствие принимаемых филиалом банка-нерезидента Республики Казахстан решений утвержденным соответствующим органом управления банка-нерезидента Республики Казахстан процедурам, процессам и политикам;</w:t>
      </w:r>
    </w:p>
    <w:bookmarkEnd w:id="410"/>
    <w:bookmarkStart w:name="z4701" w:id="411"/>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411"/>
    <w:bookmarkStart w:name="z4702" w:id="412"/>
    <w:p>
      <w:pPr>
        <w:spacing w:after="0"/>
        <w:ind w:left="0"/>
        <w:jc w:val="both"/>
      </w:pPr>
      <w:r>
        <w:rPr>
          <w:rFonts w:ascii="Times New Roman"/>
          <w:b w:val="false"/>
          <w:i w:val="false"/>
          <w:color w:val="000000"/>
          <w:sz w:val="28"/>
        </w:rPr>
        <w:t>
      информацию о своевременности, полноте и качестве устранения руководящими работниками филиала банка-нерезидента Республики Казахстан нарушений и недостатков, выявленных подразделениями по комплаенс-контролю, управлению рисками, внутреннего контроля, внутреннего аудита, внешним аудитом и уполномоченным органом, а также выполнения их рекомендаций;</w:t>
      </w:r>
    </w:p>
    <w:bookmarkEnd w:id="412"/>
    <w:bookmarkStart w:name="z4703" w:id="413"/>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отчетности по данным бухгалтерского учета филиала банка-нерезидента Республики Казахстан и регуляторной отчетности, нарушениях внутренних документов филиала банка-нерезидента Республики Казахстан,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а также исключения конфликтов интересов и внутренних злоупотреблений и мошенничества, в том числе в отношении лиц, связанных с филиалом банка-нерезидента Республики Казахстан особыми отношениями;</w:t>
      </w:r>
    </w:p>
    <w:bookmarkEnd w:id="413"/>
    <w:bookmarkStart w:name="z4704" w:id="414"/>
    <w:p>
      <w:pPr>
        <w:spacing w:after="0"/>
        <w:ind w:left="0"/>
        <w:jc w:val="both"/>
      </w:pPr>
      <w:r>
        <w:rPr>
          <w:rFonts w:ascii="Times New Roman"/>
          <w:b w:val="false"/>
          <w:i w:val="false"/>
          <w:color w:val="000000"/>
          <w:sz w:val="28"/>
        </w:rPr>
        <w:t>
      7) осуществление мониторинга соблюдения филиалом банка-нерезидента Республики Казахстан требований внутреннего порядка рассмотрения обращений клиентов, возникающих в процессе предоставления банковских услуг.</w:t>
      </w:r>
    </w:p>
    <w:bookmarkEnd w:id="414"/>
    <w:bookmarkStart w:name="z4705" w:id="415"/>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 надлежащее исполнение обязанностей, делегированных коллегиальным органам или работникам банка-нерезидента Республики Казахстан, в том числе работникам филиала банка-нерезидента Республики Казахстан в рамках утвержденной организационной структуры банка-нерезидента Республики Казахстан и филиала банка-нерезидента Республики Казахстан.</w:t>
      </w:r>
    </w:p>
    <w:bookmarkEnd w:id="415"/>
    <w:bookmarkStart w:name="z4706" w:id="416"/>
    <w:p>
      <w:pPr>
        <w:spacing w:after="0"/>
        <w:ind w:left="0"/>
        <w:jc w:val="both"/>
      </w:pPr>
      <w:r>
        <w:rPr>
          <w:rFonts w:ascii="Times New Roman"/>
          <w:b w:val="false"/>
          <w:i w:val="false"/>
          <w:color w:val="000000"/>
          <w:sz w:val="28"/>
        </w:rPr>
        <w:t>
      Правление банка отвечает за надлежащее исполнение обязанностей, делегированных коллегиальным органам или работникам банка в рамках утвержденной организационной структуры банка.</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пункта 33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417"/>
    <w:p>
      <w:pPr>
        <w:spacing w:after="0"/>
        <w:ind w:left="0"/>
        <w:jc w:val="both"/>
      </w:pPr>
      <w:r>
        <w:rPr>
          <w:rFonts w:ascii="Times New Roman"/>
          <w:b w:val="false"/>
          <w:i w:val="false"/>
          <w:color w:val="000000"/>
          <w:sz w:val="28"/>
        </w:rPr>
        <w:t>
      34. Совет директоров банка обеспечивает наличие подразделения (подразделений) по управлению рисками, курируемое и (или) возглавляемое главой риск-менеджмента, обладающим достаточными полномочиями, независимостью и ресурсами, осуществляющее взаимодействие с советом директоров.</w:t>
      </w:r>
    </w:p>
    <w:bookmarkEnd w:id="417"/>
    <w:bookmarkStart w:name="z4709" w:id="418"/>
    <w:p>
      <w:pPr>
        <w:spacing w:after="0"/>
        <w:ind w:left="0"/>
        <w:jc w:val="both"/>
      </w:pPr>
      <w:r>
        <w:rPr>
          <w:rFonts w:ascii="Times New Roman"/>
          <w:b w:val="false"/>
          <w:i w:val="false"/>
          <w:color w:val="000000"/>
          <w:sz w:val="28"/>
        </w:rPr>
        <w:t>
      Подразделение (подразделения) по управлению рисками выполняет (выполняют), но, не ограничиваясь ими, следующие функции:</w:t>
      </w:r>
    </w:p>
    <w:bookmarkEnd w:id="418"/>
    <w:bookmarkStart w:name="z4710" w:id="419"/>
    <w:p>
      <w:pPr>
        <w:spacing w:after="0"/>
        <w:ind w:left="0"/>
        <w:jc w:val="both"/>
      </w:pPr>
      <w:r>
        <w:rPr>
          <w:rFonts w:ascii="Times New Roman"/>
          <w:b w:val="false"/>
          <w:i w:val="false"/>
          <w:color w:val="000000"/>
          <w:sz w:val="28"/>
        </w:rPr>
        <w:t>
      1) разработку системы управления рисками, включающую политики и процедуры управления рисками, стратегию риск-аппетита и определение уровней риск-аппетита;</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пункта 34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712" w:id="420"/>
    <w:p>
      <w:pPr>
        <w:spacing w:after="0"/>
        <w:ind w:left="0"/>
        <w:jc w:val="both"/>
      </w:pPr>
      <w:r>
        <w:rPr>
          <w:rFonts w:ascii="Times New Roman"/>
          <w:b w:val="false"/>
          <w:i w:val="false"/>
          <w:color w:val="000000"/>
          <w:sz w:val="28"/>
        </w:rPr>
        <w:t>
      2) выявление существенных текущих и потенциальных рисков, присущих деятельности банка, в том числе посредством надзорного стресс-тестирования для банков, вошедших в периметр надзорного стресс-тестирования, и внутреннего стресс-тестирования;</w:t>
      </w:r>
    </w:p>
    <w:bookmarkEnd w:id="420"/>
    <w:bookmarkStart w:name="z4713" w:id="421"/>
    <w:p>
      <w:pPr>
        <w:spacing w:after="0"/>
        <w:ind w:left="0"/>
        <w:jc w:val="both"/>
      </w:pPr>
      <w:r>
        <w:rPr>
          <w:rFonts w:ascii="Times New Roman"/>
          <w:b w:val="false"/>
          <w:i w:val="false"/>
          <w:color w:val="000000"/>
          <w:sz w:val="28"/>
        </w:rPr>
        <w:t>
      3) оценку рисков и определение агрегированного (агрегированных) уровня (уровней) риск-аппетита;</w:t>
      </w:r>
    </w:p>
    <w:bookmarkEnd w:id="421"/>
    <w:bookmarkStart w:name="z4714" w:id="422"/>
    <w:p>
      <w:pPr>
        <w:spacing w:after="0"/>
        <w:ind w:left="0"/>
        <w:jc w:val="both"/>
      </w:pPr>
      <w:r>
        <w:rPr>
          <w:rFonts w:ascii="Times New Roman"/>
          <w:b w:val="false"/>
          <w:i w:val="false"/>
          <w:color w:val="000000"/>
          <w:sz w:val="28"/>
        </w:rPr>
        <w:t>
      4) разработку для последующего вынесения на рассмотрение комитета по управлению рисками и утверждение советом директоров банка уровней риск-аппетита, мониторинг соблюдения уровней риск-аппетита;</w:t>
      </w:r>
    </w:p>
    <w:bookmarkEnd w:id="422"/>
    <w:bookmarkStart w:name="z4715" w:id="423"/>
    <w:p>
      <w:pPr>
        <w:spacing w:after="0"/>
        <w:ind w:left="0"/>
        <w:jc w:val="both"/>
      </w:pPr>
      <w:r>
        <w:rPr>
          <w:rFonts w:ascii="Times New Roman"/>
          <w:b w:val="false"/>
          <w:i w:val="false"/>
          <w:color w:val="000000"/>
          <w:sz w:val="28"/>
        </w:rPr>
        <w:t>
      5) разработку систем раннего предупреждения и триггеров, направленных на выявление нарушений уровней риск-аппетита;</w:t>
      </w:r>
    </w:p>
    <w:bookmarkEnd w:id="423"/>
    <w:bookmarkStart w:name="z4716" w:id="424"/>
    <w:p>
      <w:pPr>
        <w:spacing w:after="0"/>
        <w:ind w:left="0"/>
        <w:jc w:val="both"/>
      </w:pPr>
      <w:r>
        <w:rPr>
          <w:rFonts w:ascii="Times New Roman"/>
          <w:b w:val="false"/>
          <w:i w:val="false"/>
          <w:color w:val="000000"/>
          <w:sz w:val="28"/>
        </w:rPr>
        <w:t>
      6) предоставление управленческой отчетности правлению, комитету по управлению рисками и совету директоров банка.</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7), 8) и 9) пункта 34 </w:t>
      </w:r>
      <w:r>
        <w:rPr>
          <w:rFonts w:ascii="Times New Roman"/>
          <w:b w:val="false"/>
          <w:i w:val="false"/>
          <w:color w:val="ff0000"/>
          <w:sz w:val="28"/>
        </w:rPr>
        <w:t>вводятся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p>
    <w:bookmarkStart w:name="z4720" w:id="425"/>
    <w:p>
      <w:pPr>
        <w:spacing w:after="0"/>
        <w:ind w:left="0"/>
        <w:jc w:val="both"/>
      </w:pPr>
      <w:r>
        <w:rPr>
          <w:rFonts w:ascii="Times New Roman"/>
          <w:b w:val="false"/>
          <w:i w:val="false"/>
          <w:color w:val="000000"/>
          <w:sz w:val="28"/>
        </w:rPr>
        <w:t>
      Положения подпунктов 1) и 4) части второй настоящего пункта в части разработки и последующего вынесения на рассмотрение комитета по управлению рисками, утверждения советом директоров банка уровней риск-аппетита, а также подпункта 5) части второй настоящего пункта не распространяются на филиал банка-нерезидента Республики Казахстан.</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четвертая пункта 34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пунктом 34-1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(вводятся в действие с 01.07.2025).</w:t>
      </w:r>
      <w:r>
        <w:br/>
      </w:r>
      <w:r>
        <w:rPr>
          <w:rFonts w:ascii="Times New Roman"/>
          <w:b w:val="false"/>
          <w:i w:val="false"/>
          <w:color w:val="000000"/>
          <w:sz w:val="28"/>
        </w:rPr>
        <w:t>
</w:t>
      </w:r>
    </w:p>
    <w:bookmarkStart w:name="z364" w:id="426"/>
    <w:p>
      <w:pPr>
        <w:spacing w:after="0"/>
        <w:ind w:left="0"/>
        <w:jc w:val="both"/>
      </w:pPr>
      <w:r>
        <w:rPr>
          <w:rFonts w:ascii="Times New Roman"/>
          <w:b w:val="false"/>
          <w:i w:val="false"/>
          <w:color w:val="000000"/>
          <w:sz w:val="28"/>
        </w:rPr>
        <w:t>
      35. Квалификация и профессиональный опыт главы риск-менеджмента соответствует выбранной бизнес модели, масштабам деятельности, видам и сложности операций, риск-профилю. Независимость главы риск-менеджмента определяется:</w:t>
      </w:r>
    </w:p>
    <w:bookmarkEnd w:id="426"/>
    <w:bookmarkStart w:name="z365" w:id="427"/>
    <w:p>
      <w:pPr>
        <w:spacing w:after="0"/>
        <w:ind w:left="0"/>
        <w:jc w:val="both"/>
      </w:pPr>
      <w:r>
        <w:rPr>
          <w:rFonts w:ascii="Times New Roman"/>
          <w:b w:val="false"/>
          <w:i w:val="false"/>
          <w:color w:val="000000"/>
          <w:sz w:val="28"/>
        </w:rPr>
        <w:t>
      1) вне зависимости от подчинения, глава риск-менеджмента назначается и освобождается от должности советом директоров банка;</w:t>
      </w:r>
    </w:p>
    <w:bookmarkEnd w:id="427"/>
    <w:bookmarkStart w:name="z366" w:id="428"/>
    <w:p>
      <w:pPr>
        <w:spacing w:after="0"/>
        <w:ind w:left="0"/>
        <w:jc w:val="both"/>
      </w:pPr>
      <w:r>
        <w:rPr>
          <w:rFonts w:ascii="Times New Roman"/>
          <w:b w:val="false"/>
          <w:i w:val="false"/>
          <w:color w:val="000000"/>
          <w:sz w:val="28"/>
        </w:rPr>
        <w:t>
      2) имеет беспрепятственный доступ к совету директоров банка, без участия правления;</w:t>
      </w:r>
    </w:p>
    <w:bookmarkEnd w:id="428"/>
    <w:bookmarkStart w:name="z367" w:id="429"/>
    <w:p>
      <w:pPr>
        <w:spacing w:after="0"/>
        <w:ind w:left="0"/>
        <w:jc w:val="both"/>
      </w:pPr>
      <w:r>
        <w:rPr>
          <w:rFonts w:ascii="Times New Roman"/>
          <w:b w:val="false"/>
          <w:i w:val="false"/>
          <w:color w:val="000000"/>
          <w:sz w:val="28"/>
        </w:rPr>
        <w:t>
      3) имеет доступ к любой информации, необходимой для выполнения им своих обязанностей;</w:t>
      </w:r>
    </w:p>
    <w:bookmarkEnd w:id="429"/>
    <w:bookmarkStart w:name="z368" w:id="430"/>
    <w:p>
      <w:pPr>
        <w:spacing w:after="0"/>
        <w:ind w:left="0"/>
        <w:jc w:val="both"/>
      </w:pPr>
      <w:r>
        <w:rPr>
          <w:rFonts w:ascii="Times New Roman"/>
          <w:b w:val="false"/>
          <w:i w:val="false"/>
          <w:color w:val="000000"/>
          <w:sz w:val="28"/>
        </w:rPr>
        <w:t>
      4) не совмещает должность главного операционного директора, финансового директора, другие аналогичные функции операционной деятельности банка (за исключением андеррайтинга, залоговой службы), руководителя подразделения внутреннего аудита.</w:t>
      </w:r>
    </w:p>
    <w:bookmarkEnd w:id="430"/>
    <w:bookmarkStart w:name="z369" w:id="431"/>
    <w:p>
      <w:pPr>
        <w:spacing w:after="0"/>
        <w:ind w:left="0"/>
        <w:jc w:val="both"/>
      </w:pPr>
      <w:r>
        <w:rPr>
          <w:rFonts w:ascii="Times New Roman"/>
          <w:b w:val="false"/>
          <w:i w:val="false"/>
          <w:color w:val="000000"/>
          <w:sz w:val="28"/>
        </w:rPr>
        <w:t>
      Взаимодействие между главой риск-менеджмента и советом директоров и (или) комитетом по вопросам управления рисками осуществляется на регулярной основе. Информация о принятом решении об освобождении главы риск-менеджмента от должности доводится до сведения уполномоченного органа. По запросу уполномоченного органа совет директоров банка предоставляет обоснование причины принятия такого решения.</w:t>
      </w:r>
    </w:p>
    <w:bookmarkEnd w:id="431"/>
    <w:bookmarkStart w:name="z370" w:id="432"/>
    <w:p>
      <w:pPr>
        <w:spacing w:after="0"/>
        <w:ind w:left="0"/>
        <w:jc w:val="both"/>
      </w:pPr>
      <w:r>
        <w:rPr>
          <w:rFonts w:ascii="Times New Roman"/>
          <w:b w:val="false"/>
          <w:i w:val="false"/>
          <w:color w:val="000000"/>
          <w:sz w:val="28"/>
        </w:rPr>
        <w:t>
      36. Выявление, измерение, мониторинг и контроль рисков осуществляются на постоянной основе на всех уровнях управления банком. Совершенствование системы управления рисками и внутреннего контроля осуществляется в соответствии с изменением риск-профиля банка, а также с учетом изменения внешней среды.</w:t>
      </w:r>
    </w:p>
    <w:bookmarkEnd w:id="432"/>
    <w:bookmarkStart w:name="z371" w:id="433"/>
    <w:p>
      <w:pPr>
        <w:spacing w:after="0"/>
        <w:ind w:left="0"/>
        <w:jc w:val="both"/>
      </w:pPr>
      <w:r>
        <w:rPr>
          <w:rFonts w:ascii="Times New Roman"/>
          <w:b w:val="false"/>
          <w:i w:val="false"/>
          <w:color w:val="000000"/>
          <w:sz w:val="28"/>
        </w:rPr>
        <w:t>
      Банк выявляет все существенные риски, присущие деятельности банка (в том числе риски по балансовым и внебалансовым операциям, по группам, портфелям и отдельным видам деятельности бизнес-подразделений). В целях эффективного управления существенными рисками совет директоров банка, комитет по вопросам управления рисками и глава риск-менеджмента осуществляют регулярную оценку рисков, присущих деятельности банка, а также поддержание актуальности риск-профиля банка. Процедура оценки рисков включает непрерывный анализ текущих рисков, а также выявление новых и потенциальных рисков. При оценке рисков банк учитывает степень концентрации существенных рисков.</w:t>
      </w:r>
    </w:p>
    <w:bookmarkEnd w:id="433"/>
    <w:bookmarkStart w:name="z372" w:id="434"/>
    <w:p>
      <w:pPr>
        <w:spacing w:after="0"/>
        <w:ind w:left="0"/>
        <w:jc w:val="both"/>
      </w:pPr>
      <w:r>
        <w:rPr>
          <w:rFonts w:ascii="Times New Roman"/>
          <w:b w:val="false"/>
          <w:i w:val="false"/>
          <w:color w:val="000000"/>
          <w:sz w:val="28"/>
        </w:rPr>
        <w:t>
      При выявлении и измерении рисков учитываются как количественные, так и качественные параметры. Банк также учитывает риски, трудно поддающиеся оценке, например, репутационные, юридические риски.</w:t>
      </w:r>
    </w:p>
    <w:bookmarkEnd w:id="434"/>
    <w:bookmarkStart w:name="z373" w:id="435"/>
    <w:p>
      <w:pPr>
        <w:spacing w:after="0"/>
        <w:ind w:left="0"/>
        <w:jc w:val="both"/>
      </w:pPr>
      <w:r>
        <w:rPr>
          <w:rFonts w:ascii="Times New Roman"/>
          <w:b w:val="false"/>
          <w:i w:val="false"/>
          <w:color w:val="000000"/>
          <w:sz w:val="28"/>
        </w:rPr>
        <w:t>
      Кроме выявления и измерения подверженности рискам подразделение по управлению рисками проводит оценку возможных способов снижения рисков и указывает на необходимость снижения уровня риска. В случаях, когда принимается решение о принятии риска, превышающего установленные уровни риск-аппетита, глава риск-менеджмента представляет отчет о таком исключении совету директоров с надлежащим анализом причин превышения и в дальнейшем осуществляет контроль за снижением уровня принятого риска в рамках системы управления рисками и установленного по нему уровню.</w:t>
      </w:r>
    </w:p>
    <w:bookmarkEnd w:id="435"/>
    <w:bookmarkStart w:name="z374" w:id="436"/>
    <w:p>
      <w:pPr>
        <w:spacing w:after="0"/>
        <w:ind w:left="0"/>
        <w:jc w:val="both"/>
      </w:pPr>
      <w:r>
        <w:rPr>
          <w:rFonts w:ascii="Times New Roman"/>
          <w:b w:val="false"/>
          <w:i w:val="false"/>
          <w:color w:val="000000"/>
          <w:sz w:val="28"/>
        </w:rPr>
        <w:t>
      Глава риск-менеджмента информирует совет директоров банка о наличии существенных расхождений между мнением подразделения по управлению рисками и решением правления банка относительно уровня рисков, принимаемых банком.</w:t>
      </w:r>
    </w:p>
    <w:bookmarkEnd w:id="436"/>
    <w:bookmarkStart w:name="z375" w:id="437"/>
    <w:p>
      <w:pPr>
        <w:spacing w:after="0"/>
        <w:ind w:left="0"/>
        <w:jc w:val="both"/>
      </w:pPr>
      <w:r>
        <w:rPr>
          <w:rFonts w:ascii="Times New Roman"/>
          <w:b w:val="false"/>
          <w:i w:val="false"/>
          <w:color w:val="000000"/>
          <w:sz w:val="28"/>
        </w:rPr>
        <w:t>
      Регулярное информирование по вопросам, связанным с рисками, включая политики и процедуры управления рисками, в рамках банка является ключевым фактором высокой культуры управления рисками. Культура управления рисками способствует полноценному обмену информацией о рисках и призывает к открытому обсуждению и критической оценке вопросов, связанных с принятием рисков работниками, правлением и советом директоров банка.</w:t>
      </w:r>
    </w:p>
    <w:bookmarkEnd w:id="437"/>
    <w:bookmarkStart w:name="z376" w:id="438"/>
    <w:p>
      <w:pPr>
        <w:spacing w:after="0"/>
        <w:ind w:left="0"/>
        <w:jc w:val="both"/>
      </w:pPr>
      <w:r>
        <w:rPr>
          <w:rFonts w:ascii="Times New Roman"/>
          <w:b w:val="false"/>
          <w:i w:val="false"/>
          <w:color w:val="000000"/>
          <w:sz w:val="28"/>
        </w:rPr>
        <w:t>
      Значимая информация по вопросам, связанным с рисками, требующая незамедлительного принятия решения или срочных мер, в срочном порядке доводится до сведения совета директоров банка, комитета по вопросам управления рисками и, при необходимости, правления банка, ответственных должностных лиц и руководителей подразделений, осуществляющих контроль, для принятия превентивных мер.</w:t>
      </w:r>
    </w:p>
    <w:bookmarkEnd w:id="438"/>
    <w:bookmarkStart w:name="z377" w:id="439"/>
    <w:p>
      <w:pPr>
        <w:spacing w:after="0"/>
        <w:ind w:left="0"/>
        <w:jc w:val="both"/>
      </w:pPr>
      <w:r>
        <w:rPr>
          <w:rFonts w:ascii="Times New Roman"/>
          <w:b w:val="false"/>
          <w:i w:val="false"/>
          <w:color w:val="000000"/>
          <w:sz w:val="28"/>
        </w:rPr>
        <w:t>
      Банк исключает создание закрытых групп в рамках отдельных подразделений, препятствующих эффективному обмену информацией о рисках, и приводящих к принятию решений уполномоченными органами банка без учета мнения (экспертизы) вовлеченных подразделений банка. Для преодоления проблем, связанных с обменом информацией, совет директоров, правление и подразделения банка, осуществляющие контроль, обеспечивает эффективность системы внутренних коммуникаций и при необходимости вносят соответствующие изменения.</w:t>
      </w:r>
    </w:p>
    <w:bookmarkEnd w:id="439"/>
    <w:bookmarkStart w:name="z378" w:id="440"/>
    <w:p>
      <w:pPr>
        <w:spacing w:after="0"/>
        <w:ind w:left="0"/>
        <w:jc w:val="both"/>
      </w:pPr>
      <w:r>
        <w:rPr>
          <w:rFonts w:ascii="Times New Roman"/>
          <w:b w:val="false"/>
          <w:i w:val="false"/>
          <w:color w:val="000000"/>
          <w:sz w:val="28"/>
        </w:rPr>
        <w:t>
      37.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Система внутреннего контроля направлена на достижение следующих целей:</w:t>
      </w:r>
    </w:p>
    <w:bookmarkEnd w:id="440"/>
    <w:bookmarkStart w:name="z379" w:id="441"/>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рисками, активами и пассивами, обеспечение сохранности активов;</w:t>
      </w:r>
    </w:p>
    <w:bookmarkEnd w:id="441"/>
    <w:bookmarkStart w:name="z380" w:id="442"/>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w:t>
      </w:r>
    </w:p>
    <w:bookmarkEnd w:id="442"/>
    <w:bookmarkStart w:name="z381" w:id="443"/>
    <w:p>
      <w:pPr>
        <w:spacing w:after="0"/>
        <w:ind w:left="0"/>
        <w:jc w:val="both"/>
      </w:pPr>
      <w:r>
        <w:rPr>
          <w:rFonts w:ascii="Times New Roman"/>
          <w:b w:val="false"/>
          <w:i w:val="false"/>
          <w:color w:val="000000"/>
          <w:sz w:val="28"/>
        </w:rPr>
        <w:t>
      3) обеспечение информационной безопасности;</w:t>
      </w:r>
    </w:p>
    <w:bookmarkEnd w:id="443"/>
    <w:bookmarkStart w:name="z382" w:id="444"/>
    <w:p>
      <w:pPr>
        <w:spacing w:after="0"/>
        <w:ind w:left="0"/>
        <w:jc w:val="both"/>
      </w:pPr>
      <w:r>
        <w:rPr>
          <w:rFonts w:ascii="Times New Roman"/>
          <w:b w:val="false"/>
          <w:i w:val="false"/>
          <w:color w:val="000000"/>
          <w:sz w:val="28"/>
        </w:rPr>
        <w:t>
      4)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444"/>
    <w:bookmarkStart w:name="z383" w:id="445"/>
    <w:p>
      <w:pPr>
        <w:spacing w:after="0"/>
        <w:ind w:left="0"/>
        <w:jc w:val="both"/>
      </w:pPr>
      <w:r>
        <w:rPr>
          <w:rFonts w:ascii="Times New Roman"/>
          <w:b w:val="false"/>
          <w:i w:val="false"/>
          <w:color w:val="000000"/>
          <w:sz w:val="28"/>
        </w:rPr>
        <w:t>
      В рамках внутреннего контроля проводятся проверки процессов банка по осуществлению деятельности на соответствие внутренним политикам и процедурам,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Банк располагает достоверной внутренней и внешней информацией в целях управления рисками, принятия стратегических бизнес решений и определения достаточности собственного капитала и ликвидности. Совет директоров банка и соответствующие комитеты совета директоров банка принимают решения, связанные с принятием рисков, на основе качественных, актуальных и достоверных данных.</w:t>
      </w:r>
    </w:p>
    <w:bookmarkEnd w:id="445"/>
    <w:bookmarkStart w:name="z384" w:id="446"/>
    <w:p>
      <w:pPr>
        <w:spacing w:after="0"/>
        <w:ind w:left="0"/>
        <w:jc w:val="both"/>
      </w:pPr>
      <w:r>
        <w:rPr>
          <w:rFonts w:ascii="Times New Roman"/>
          <w:b w:val="false"/>
          <w:i w:val="false"/>
          <w:color w:val="000000"/>
          <w:sz w:val="28"/>
        </w:rPr>
        <w:t>
      Методы измерения и моделирования рисков используются в дополнение к качественному анализу и мониторингу рисков. Глава риск-менеджмента информирует совет директоров банка и комитет по вопросам управления рисками об используемых методах и потенциальных недостатках моделей по управлению рисками и аналитических подходов в банке.</w:t>
      </w:r>
    </w:p>
    <w:bookmarkEnd w:id="446"/>
    <w:bookmarkStart w:name="z385" w:id="447"/>
    <w:p>
      <w:pPr>
        <w:spacing w:after="0"/>
        <w:ind w:left="0"/>
        <w:jc w:val="left"/>
      </w:pPr>
      <w:r>
        <w:rPr>
          <w:rFonts w:ascii="Times New Roman"/>
          <w:b/>
          <w:i w:val="false"/>
          <w:color w:val="000000"/>
        </w:rPr>
        <w:t xml:space="preserve"> Глава 5. Внутренний процесс оценки достаточности капитала</w:t>
      </w:r>
    </w:p>
    <w:bookmarkEnd w:id="447"/>
    <w:bookmarkStart w:name="z386" w:id="448"/>
    <w:p>
      <w:pPr>
        <w:spacing w:after="0"/>
        <w:ind w:left="0"/>
        <w:jc w:val="both"/>
      </w:pPr>
      <w:r>
        <w:rPr>
          <w:rFonts w:ascii="Times New Roman"/>
          <w:b w:val="false"/>
          <w:i w:val="false"/>
          <w:color w:val="000000"/>
          <w:sz w:val="28"/>
        </w:rPr>
        <w:t>
      38. Совет директоров банка утверждает внутренний документ банка, регламентирующий основные подходы и принципы ВПОДК и содержащий следующие разделы:</w:t>
      </w:r>
    </w:p>
    <w:bookmarkEnd w:id="448"/>
    <w:bookmarkStart w:name="z387" w:id="449"/>
    <w:p>
      <w:pPr>
        <w:spacing w:after="0"/>
        <w:ind w:left="0"/>
        <w:jc w:val="both"/>
      </w:pPr>
      <w:r>
        <w:rPr>
          <w:rFonts w:ascii="Times New Roman"/>
          <w:b w:val="false"/>
          <w:i w:val="false"/>
          <w:color w:val="000000"/>
          <w:sz w:val="28"/>
        </w:rPr>
        <w:t>
      1) описание организационной струткуры ВПОДК;</w:t>
      </w:r>
    </w:p>
    <w:bookmarkEnd w:id="449"/>
    <w:bookmarkStart w:name="z388" w:id="450"/>
    <w:p>
      <w:pPr>
        <w:spacing w:after="0"/>
        <w:ind w:left="0"/>
        <w:jc w:val="both"/>
      </w:pPr>
      <w:r>
        <w:rPr>
          <w:rFonts w:ascii="Times New Roman"/>
          <w:b w:val="false"/>
          <w:i w:val="false"/>
          <w:color w:val="000000"/>
          <w:sz w:val="28"/>
        </w:rPr>
        <w:t>
      2) описание стратегия риск-аппетита;</w:t>
      </w:r>
    </w:p>
    <w:bookmarkEnd w:id="450"/>
    <w:bookmarkStart w:name="z389" w:id="451"/>
    <w:p>
      <w:pPr>
        <w:spacing w:after="0"/>
        <w:ind w:left="0"/>
        <w:jc w:val="both"/>
      </w:pPr>
      <w:r>
        <w:rPr>
          <w:rFonts w:ascii="Times New Roman"/>
          <w:b w:val="false"/>
          <w:i w:val="false"/>
          <w:color w:val="000000"/>
          <w:sz w:val="28"/>
        </w:rPr>
        <w:t>
      3) организация управления кредитным, рыночными, операционным рисками в рамках ВПОДК;</w:t>
      </w:r>
    </w:p>
    <w:bookmarkEnd w:id="451"/>
    <w:bookmarkStart w:name="z390" w:id="452"/>
    <w:p>
      <w:pPr>
        <w:spacing w:after="0"/>
        <w:ind w:left="0"/>
        <w:jc w:val="both"/>
      </w:pPr>
      <w:r>
        <w:rPr>
          <w:rFonts w:ascii="Times New Roman"/>
          <w:b w:val="false"/>
          <w:i w:val="false"/>
          <w:color w:val="000000"/>
          <w:sz w:val="28"/>
        </w:rPr>
        <w:t>
      4) организация процедур стресс-тестирования;</w:t>
      </w:r>
    </w:p>
    <w:bookmarkEnd w:id="452"/>
    <w:bookmarkStart w:name="z391" w:id="453"/>
    <w:p>
      <w:pPr>
        <w:spacing w:after="0"/>
        <w:ind w:left="0"/>
        <w:jc w:val="both"/>
      </w:pPr>
      <w:r>
        <w:rPr>
          <w:rFonts w:ascii="Times New Roman"/>
          <w:b w:val="false"/>
          <w:i w:val="false"/>
          <w:color w:val="000000"/>
          <w:sz w:val="28"/>
        </w:rPr>
        <w:t>
      5) организация процедур управления рисками в рамках новых продуктов и видов деятельности;</w:t>
      </w:r>
    </w:p>
    <w:bookmarkEnd w:id="453"/>
    <w:bookmarkStart w:name="z392" w:id="454"/>
    <w:p>
      <w:pPr>
        <w:spacing w:after="0"/>
        <w:ind w:left="0"/>
        <w:jc w:val="both"/>
      </w:pPr>
      <w:r>
        <w:rPr>
          <w:rFonts w:ascii="Times New Roman"/>
          <w:b w:val="false"/>
          <w:i w:val="false"/>
          <w:color w:val="000000"/>
          <w:sz w:val="28"/>
        </w:rPr>
        <w:t>
      6) организация процедур самооценка внутреннего процесса оценки достаточности капитала.</w:t>
      </w:r>
    </w:p>
    <w:bookmarkEnd w:id="454"/>
    <w:bookmarkStart w:name="z393" w:id="455"/>
    <w:p>
      <w:pPr>
        <w:spacing w:after="0"/>
        <w:ind w:left="0"/>
        <w:jc w:val="both"/>
      </w:pPr>
      <w:r>
        <w:rPr>
          <w:rFonts w:ascii="Times New Roman"/>
          <w:b w:val="false"/>
          <w:i w:val="false"/>
          <w:color w:val="000000"/>
          <w:sz w:val="28"/>
        </w:rPr>
        <w:t>
      39. ВПОДК является составной частью управления банком и создается в целях:</w:t>
      </w:r>
    </w:p>
    <w:bookmarkEnd w:id="455"/>
    <w:bookmarkStart w:name="z394" w:id="456"/>
    <w:p>
      <w:pPr>
        <w:spacing w:after="0"/>
        <w:ind w:left="0"/>
        <w:jc w:val="both"/>
      </w:pPr>
      <w:r>
        <w:rPr>
          <w:rFonts w:ascii="Times New Roman"/>
          <w:b w:val="false"/>
          <w:i w:val="false"/>
          <w:color w:val="000000"/>
          <w:sz w:val="28"/>
        </w:rPr>
        <w:t>
      1) выявления, оценки, агрегирования и контроля существенных видов риска, присущих деятельности банка, с целью определения необходимого уровня капитала, достаточного для их покрытия, в том числе:</w:t>
      </w:r>
    </w:p>
    <w:bookmarkEnd w:id="456"/>
    <w:bookmarkStart w:name="z395" w:id="457"/>
    <w:p>
      <w:pPr>
        <w:spacing w:after="0"/>
        <w:ind w:left="0"/>
        <w:jc w:val="both"/>
      </w:pPr>
      <w:r>
        <w:rPr>
          <w:rFonts w:ascii="Times New Roman"/>
          <w:b w:val="false"/>
          <w:i w:val="false"/>
          <w:color w:val="000000"/>
          <w:sz w:val="28"/>
        </w:rPr>
        <w:t>
      кредитного риска;</w:t>
      </w:r>
    </w:p>
    <w:bookmarkEnd w:id="457"/>
    <w:bookmarkStart w:name="z396" w:id="458"/>
    <w:p>
      <w:pPr>
        <w:spacing w:after="0"/>
        <w:ind w:left="0"/>
        <w:jc w:val="both"/>
      </w:pPr>
      <w:r>
        <w:rPr>
          <w:rFonts w:ascii="Times New Roman"/>
          <w:b w:val="false"/>
          <w:i w:val="false"/>
          <w:color w:val="000000"/>
          <w:sz w:val="28"/>
        </w:rPr>
        <w:t>
      рыночного риска;</w:t>
      </w:r>
    </w:p>
    <w:bookmarkEnd w:id="458"/>
    <w:bookmarkStart w:name="z397" w:id="459"/>
    <w:p>
      <w:pPr>
        <w:spacing w:after="0"/>
        <w:ind w:left="0"/>
        <w:jc w:val="both"/>
      </w:pPr>
      <w:r>
        <w:rPr>
          <w:rFonts w:ascii="Times New Roman"/>
          <w:b w:val="false"/>
          <w:i w:val="false"/>
          <w:color w:val="000000"/>
          <w:sz w:val="28"/>
        </w:rPr>
        <w:t>
      операционного риска;</w:t>
      </w:r>
    </w:p>
    <w:bookmarkEnd w:id="459"/>
    <w:bookmarkStart w:name="z398" w:id="460"/>
    <w:p>
      <w:pPr>
        <w:spacing w:after="0"/>
        <w:ind w:left="0"/>
        <w:jc w:val="both"/>
      </w:pPr>
      <w:r>
        <w:rPr>
          <w:rFonts w:ascii="Times New Roman"/>
          <w:b w:val="false"/>
          <w:i w:val="false"/>
          <w:color w:val="000000"/>
          <w:sz w:val="28"/>
        </w:rPr>
        <w:t>
      а также иных рисков, которым подвержен банк;</w:t>
      </w:r>
    </w:p>
    <w:bookmarkEnd w:id="460"/>
    <w:bookmarkStart w:name="z399" w:id="461"/>
    <w:p>
      <w:pPr>
        <w:spacing w:after="0"/>
        <w:ind w:left="0"/>
        <w:jc w:val="both"/>
      </w:pPr>
      <w:r>
        <w:rPr>
          <w:rFonts w:ascii="Times New Roman"/>
          <w:b w:val="false"/>
          <w:i w:val="false"/>
          <w:color w:val="000000"/>
          <w:sz w:val="28"/>
        </w:rPr>
        <w:t xml:space="preserve">
      2) планирования капитала, исходя из стратегии банка, результатов всесторонней оценки существенных рисков, стресс-тестирования финансовой устойчивости банка по отношению к внутренним и внешним факторам риска, а также требований к достаточности собственного капитала банка, установленных </w:t>
      </w:r>
      <w:r>
        <w:rPr>
          <w:rFonts w:ascii="Times New Roman"/>
          <w:b w:val="false"/>
          <w:i w:val="false"/>
          <w:color w:val="000000"/>
          <w:sz w:val="28"/>
        </w:rPr>
        <w:t>статьей 42</w:t>
      </w:r>
      <w:r>
        <w:rPr>
          <w:rFonts w:ascii="Times New Roman"/>
          <w:b w:val="false"/>
          <w:i w:val="false"/>
          <w:color w:val="000000"/>
          <w:sz w:val="28"/>
        </w:rPr>
        <w:t xml:space="preserve"> Закона о банках.</w:t>
      </w:r>
    </w:p>
    <w:bookmarkEnd w:id="461"/>
    <w:bookmarkStart w:name="z400" w:id="4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Описание организационной структуры ВПОДК содержит перечень участников ВПОДК с указанием ответственности коллегиальных органов банка и подразделений, участвующих в реализации процессов управления достаточностью капитала, в том числе:</w:t>
      </w:r>
    </w:p>
    <w:bookmarkEnd w:id="462"/>
    <w:bookmarkStart w:name="z2364" w:id="463"/>
    <w:p>
      <w:pPr>
        <w:spacing w:after="0"/>
        <w:ind w:left="0"/>
        <w:jc w:val="both"/>
      </w:pPr>
      <w:r>
        <w:rPr>
          <w:rFonts w:ascii="Times New Roman"/>
          <w:b w:val="false"/>
          <w:i w:val="false"/>
          <w:color w:val="000000"/>
          <w:sz w:val="28"/>
        </w:rPr>
        <w:t>
      1) совет директоров банка отвечает за управление достаточностью капитала в целях управления рисками и определение уровня (уровней) риск-аппетита. Совет директоров банка утверждает отчет по соблюдению ВПОДК и ВПОДЛ, включающий информацию о поддержании необходимого уровня достаточности капитала, не позднее 30 апреля года, следующего за отчетным годом;</w:t>
      </w:r>
    </w:p>
    <w:bookmarkEnd w:id="463"/>
    <w:bookmarkStart w:name="z2365" w:id="464"/>
    <w:p>
      <w:pPr>
        <w:spacing w:after="0"/>
        <w:ind w:left="0"/>
        <w:jc w:val="both"/>
      </w:pPr>
      <w:r>
        <w:rPr>
          <w:rFonts w:ascii="Times New Roman"/>
          <w:b w:val="false"/>
          <w:i w:val="false"/>
          <w:color w:val="000000"/>
          <w:sz w:val="28"/>
        </w:rPr>
        <w:t>
      2) комитет по вопросам управления рисками отвечает за разработку политик управления рисками и процедур в области управления капиталом в рамках уровня риск-аппетита, установленного советом директоров банка. Комитет по вопросам управления рисками периодически уведомляет совет директоров банка о существенных изменениях уровня капитала;</w:t>
      </w:r>
    </w:p>
    <w:bookmarkEnd w:id="464"/>
    <w:bookmarkStart w:name="z2366" w:id="465"/>
    <w:p>
      <w:pPr>
        <w:spacing w:after="0"/>
        <w:ind w:left="0"/>
        <w:jc w:val="both"/>
      </w:pPr>
      <w:r>
        <w:rPr>
          <w:rFonts w:ascii="Times New Roman"/>
          <w:b w:val="false"/>
          <w:i w:val="false"/>
          <w:color w:val="000000"/>
          <w:sz w:val="28"/>
        </w:rPr>
        <w:t>
      3) подразделение (подразделения) лица, на которое (которых) возложены функции внутреннего контроля, осуществляет (осуществляют) проверку соблюдения процедур ВПОДК и доводит (доводят) результаты до сведения совета директоров банка;</w:t>
      </w:r>
    </w:p>
    <w:bookmarkEnd w:id="465"/>
    <w:bookmarkStart w:name="z2367" w:id="466"/>
    <w:p>
      <w:pPr>
        <w:spacing w:after="0"/>
        <w:ind w:left="0"/>
        <w:jc w:val="both"/>
      </w:pPr>
      <w:r>
        <w:rPr>
          <w:rFonts w:ascii="Times New Roman"/>
          <w:b w:val="false"/>
          <w:i w:val="false"/>
          <w:color w:val="000000"/>
          <w:sz w:val="28"/>
        </w:rPr>
        <w:t>
      4) подразделение (подразделения), участвующее (участвующие) в процессе по управлению рисками:</w:t>
      </w:r>
    </w:p>
    <w:bookmarkEnd w:id="466"/>
    <w:bookmarkStart w:name="z2368" w:id="467"/>
    <w:p>
      <w:pPr>
        <w:spacing w:after="0"/>
        <w:ind w:left="0"/>
        <w:jc w:val="both"/>
      </w:pPr>
      <w:r>
        <w:rPr>
          <w:rFonts w:ascii="Times New Roman"/>
          <w:b w:val="false"/>
          <w:i w:val="false"/>
          <w:color w:val="000000"/>
          <w:sz w:val="28"/>
        </w:rPr>
        <w:t xml:space="preserve">
      является (являются) ответственным (ответственными) за реализацию процесса управления достаточностью капитала; </w:t>
      </w:r>
    </w:p>
    <w:bookmarkEnd w:id="467"/>
    <w:bookmarkStart w:name="z2369" w:id="468"/>
    <w:p>
      <w:pPr>
        <w:spacing w:after="0"/>
        <w:ind w:left="0"/>
        <w:jc w:val="both"/>
      </w:pPr>
      <w:r>
        <w:rPr>
          <w:rFonts w:ascii="Times New Roman"/>
          <w:b w:val="false"/>
          <w:i w:val="false"/>
          <w:color w:val="000000"/>
          <w:sz w:val="28"/>
        </w:rPr>
        <w:t>
      отвечает (отвечают) за подготовку отчета по соблюдению ВПОДК и ВПОДЛ в соответствии со Структурой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 Банк обеспечивает наличие подтверждающих документов к отчету по соблюдению ВПОДК и ВПОДЛ, которые включают, но не ограничиваясь, расчеты, применяемые модели, пояснительные записки, аналитические справки, результаты самооценки, оценку эффективности ВПОДК и результаты проверки соблюдения процедур ВПОДК;</w:t>
      </w:r>
    </w:p>
    <w:bookmarkEnd w:id="468"/>
    <w:bookmarkStart w:name="z2370" w:id="469"/>
    <w:p>
      <w:pPr>
        <w:spacing w:after="0"/>
        <w:ind w:left="0"/>
        <w:jc w:val="both"/>
      </w:pPr>
      <w:r>
        <w:rPr>
          <w:rFonts w:ascii="Times New Roman"/>
          <w:b w:val="false"/>
          <w:i w:val="false"/>
          <w:color w:val="000000"/>
          <w:sz w:val="28"/>
        </w:rPr>
        <w:t>
      отвечает (отвечают) за подготовку проведения стресс-тестирования;</w:t>
      </w:r>
    </w:p>
    <w:bookmarkEnd w:id="469"/>
    <w:bookmarkStart w:name="z2371" w:id="470"/>
    <w:p>
      <w:pPr>
        <w:spacing w:after="0"/>
        <w:ind w:left="0"/>
        <w:jc w:val="both"/>
      </w:pPr>
      <w:r>
        <w:rPr>
          <w:rFonts w:ascii="Times New Roman"/>
          <w:b w:val="false"/>
          <w:i w:val="false"/>
          <w:color w:val="000000"/>
          <w:sz w:val="28"/>
        </w:rPr>
        <w:t>
      5) подразделение, ответственное за разработку бюджета и планирование, осуществляет планирование инвестиций и разработку бюджета по всем направлениям деятельности банка;</w:t>
      </w:r>
    </w:p>
    <w:bookmarkEnd w:id="470"/>
    <w:bookmarkStart w:name="z2372" w:id="471"/>
    <w:p>
      <w:pPr>
        <w:spacing w:after="0"/>
        <w:ind w:left="0"/>
        <w:jc w:val="both"/>
      </w:pPr>
      <w:r>
        <w:rPr>
          <w:rFonts w:ascii="Times New Roman"/>
          <w:b w:val="false"/>
          <w:i w:val="false"/>
          <w:color w:val="000000"/>
          <w:sz w:val="28"/>
        </w:rPr>
        <w:t>
      6) подразделение (подразделения) по управлению капиталом разрабатывает (разрабатывают) и реализует (реализуют) меры по увеличению уровня капитализации и разрабатывает (разрабатывают) совместно с заинтересованными подразделениями план финансирования капитала;</w:t>
      </w:r>
    </w:p>
    <w:bookmarkEnd w:id="471"/>
    <w:bookmarkStart w:name="z2373" w:id="472"/>
    <w:p>
      <w:pPr>
        <w:spacing w:after="0"/>
        <w:ind w:left="0"/>
        <w:jc w:val="both"/>
      </w:pPr>
      <w:r>
        <w:rPr>
          <w:rFonts w:ascii="Times New Roman"/>
          <w:b w:val="false"/>
          <w:i w:val="false"/>
          <w:color w:val="000000"/>
          <w:sz w:val="28"/>
        </w:rPr>
        <w:t>
      7) подразделение внутреннего аудита проводит оценку эффективности ВПОДК.</w:t>
      </w:r>
    </w:p>
    <w:bookmarkEnd w:id="472"/>
    <w:bookmarkStart w:name="z2374" w:id="473"/>
    <w:p>
      <w:pPr>
        <w:spacing w:after="0"/>
        <w:ind w:left="0"/>
        <w:jc w:val="both"/>
      </w:pPr>
      <w:r>
        <w:rPr>
          <w:rFonts w:ascii="Times New Roman"/>
          <w:b w:val="false"/>
          <w:i w:val="false"/>
          <w:color w:val="000000"/>
          <w:sz w:val="28"/>
        </w:rPr>
        <w:t>
      В рамках ВПОДК совет директоров банка несет ответственность за соблюдение утвержденной стратегии риск-аппетита, разработанной в соответствии с главой 3 Правил.</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74"/>
    <w:p>
      <w:pPr>
        <w:spacing w:after="0"/>
        <w:ind w:left="0"/>
        <w:jc w:val="both"/>
      </w:pPr>
      <w:r>
        <w:rPr>
          <w:rFonts w:ascii="Times New Roman"/>
          <w:b w:val="false"/>
          <w:i w:val="false"/>
          <w:color w:val="000000"/>
          <w:sz w:val="28"/>
        </w:rPr>
        <w:t>
      41. Банк обеспечивает наличие эффективной системы управления кредитным риском, которая соответствует текущей рыночной ситуации, стратегии, объему активов, уровню сложности операций банка и обеспечивает эффективное выявление, измерение, мониторинг и контроль за кредитным риском банка с целью обеспечения достаточности собственного капитала для его покрытия, и включающей, но, не ограничиваясь, следующие компоненты:</w:t>
      </w:r>
    </w:p>
    <w:bookmarkEnd w:id="474"/>
    <w:bookmarkStart w:name="z4723" w:id="475"/>
    <w:p>
      <w:pPr>
        <w:spacing w:after="0"/>
        <w:ind w:left="0"/>
        <w:jc w:val="both"/>
      </w:pPr>
      <w:r>
        <w:rPr>
          <w:rFonts w:ascii="Times New Roman"/>
          <w:b w:val="false"/>
          <w:i w:val="false"/>
          <w:color w:val="000000"/>
          <w:sz w:val="28"/>
        </w:rPr>
        <w:t>
      1) внутренний порядок совершения операций, которым присущ кредитный риск, и принятие соответствующих решений;</w:t>
      </w:r>
    </w:p>
    <w:bookmarkEnd w:id="475"/>
    <w:bookmarkStart w:name="z4724" w:id="476"/>
    <w:p>
      <w:pPr>
        <w:spacing w:after="0"/>
        <w:ind w:left="0"/>
        <w:jc w:val="both"/>
      </w:pPr>
      <w:r>
        <w:rPr>
          <w:rFonts w:ascii="Times New Roman"/>
          <w:b w:val="false"/>
          <w:i w:val="false"/>
          <w:color w:val="000000"/>
          <w:sz w:val="28"/>
        </w:rPr>
        <w:t>
      2) процедуры кредитного администрирования;</w:t>
      </w:r>
    </w:p>
    <w:bookmarkEnd w:id="476"/>
    <w:bookmarkStart w:name="z4725" w:id="477"/>
    <w:p>
      <w:pPr>
        <w:spacing w:after="0"/>
        <w:ind w:left="0"/>
        <w:jc w:val="both"/>
      </w:pPr>
      <w:r>
        <w:rPr>
          <w:rFonts w:ascii="Times New Roman"/>
          <w:b w:val="false"/>
          <w:i w:val="false"/>
          <w:color w:val="000000"/>
          <w:sz w:val="28"/>
        </w:rPr>
        <w:t>
      3) процедуры оценки кредитного риска;</w:t>
      </w:r>
    </w:p>
    <w:bookmarkEnd w:id="477"/>
    <w:bookmarkStart w:name="z4726" w:id="478"/>
    <w:p>
      <w:pPr>
        <w:spacing w:after="0"/>
        <w:ind w:left="0"/>
        <w:jc w:val="both"/>
      </w:pPr>
      <w:r>
        <w:rPr>
          <w:rFonts w:ascii="Times New Roman"/>
          <w:b w:val="false"/>
          <w:i w:val="false"/>
          <w:color w:val="000000"/>
          <w:sz w:val="28"/>
        </w:rPr>
        <w:t>
      4) кредитный мониторинг;</w:t>
      </w:r>
    </w:p>
    <w:bookmarkEnd w:id="478"/>
    <w:bookmarkStart w:name="z4727" w:id="479"/>
    <w:p>
      <w:pPr>
        <w:spacing w:after="0"/>
        <w:ind w:left="0"/>
        <w:jc w:val="both"/>
      </w:pPr>
      <w:r>
        <w:rPr>
          <w:rFonts w:ascii="Times New Roman"/>
          <w:b w:val="false"/>
          <w:i w:val="false"/>
          <w:color w:val="000000"/>
          <w:sz w:val="28"/>
        </w:rPr>
        <w:t>
      5) управление залоговым обеспечением;</w:t>
      </w:r>
    </w:p>
    <w:bookmarkEnd w:id="479"/>
    <w:bookmarkStart w:name="z4728" w:id="480"/>
    <w:p>
      <w:pPr>
        <w:spacing w:after="0"/>
        <w:ind w:left="0"/>
        <w:jc w:val="both"/>
      </w:pPr>
      <w:r>
        <w:rPr>
          <w:rFonts w:ascii="Times New Roman"/>
          <w:b w:val="false"/>
          <w:i w:val="false"/>
          <w:color w:val="000000"/>
          <w:sz w:val="28"/>
        </w:rPr>
        <w:t>
      6) управление проблемными кредитами;</w:t>
      </w:r>
    </w:p>
    <w:bookmarkEnd w:id="480"/>
    <w:bookmarkStart w:name="z4729" w:id="481"/>
    <w:p>
      <w:pPr>
        <w:spacing w:after="0"/>
        <w:ind w:left="0"/>
        <w:jc w:val="both"/>
      </w:pPr>
      <w:r>
        <w:rPr>
          <w:rFonts w:ascii="Times New Roman"/>
          <w:b w:val="false"/>
          <w:i w:val="false"/>
          <w:color w:val="000000"/>
          <w:sz w:val="28"/>
        </w:rPr>
        <w:t>
      7) оценка эффективности системы управления кредитным риском;</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Подпункты 8), 9) и 10) пункта 41 </w:t>
      </w:r>
      <w:r>
        <w:rPr>
          <w:rFonts w:ascii="Times New Roman"/>
          <w:b w:val="false"/>
          <w:i w:val="false"/>
          <w:color w:val="ff0000"/>
          <w:sz w:val="28"/>
        </w:rPr>
        <w:t>вводятся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41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В рамках системы управления кредитным риском банк руководствуется следующими принципами и требованиями:</w:t>
      </w:r>
    </w:p>
    <w:bookmarkEnd w:id="482"/>
    <w:bookmarkStart w:name="z4735" w:id="483"/>
    <w:p>
      <w:pPr>
        <w:spacing w:after="0"/>
        <w:ind w:left="0"/>
        <w:jc w:val="both"/>
      </w:pPr>
      <w:r>
        <w:rPr>
          <w:rFonts w:ascii="Times New Roman"/>
          <w:b w:val="false"/>
          <w:i w:val="false"/>
          <w:color w:val="000000"/>
          <w:sz w:val="28"/>
        </w:rPr>
        <w:t>
      1) совет директоров и комитет по вопросам управления рисками банка обеспечивают:</w:t>
      </w:r>
    </w:p>
    <w:bookmarkEnd w:id="483"/>
    <w:bookmarkStart w:name="z4736" w:id="484"/>
    <w:p>
      <w:pPr>
        <w:spacing w:after="0"/>
        <w:ind w:left="0"/>
        <w:jc w:val="both"/>
      </w:pPr>
      <w:r>
        <w:rPr>
          <w:rFonts w:ascii="Times New Roman"/>
          <w:b w:val="false"/>
          <w:i w:val="false"/>
          <w:color w:val="000000"/>
          <w:sz w:val="28"/>
        </w:rPr>
        <w:t>
      поддержание достаточного уровня провизий;</w:t>
      </w:r>
    </w:p>
    <w:bookmarkEnd w:id="484"/>
    <w:bookmarkStart w:name="z4737" w:id="485"/>
    <w:p>
      <w:pPr>
        <w:spacing w:after="0"/>
        <w:ind w:left="0"/>
        <w:jc w:val="both"/>
      </w:pPr>
      <w:r>
        <w:rPr>
          <w:rFonts w:ascii="Times New Roman"/>
          <w:b w:val="false"/>
          <w:i w:val="false"/>
          <w:color w:val="000000"/>
          <w:sz w:val="28"/>
        </w:rPr>
        <w:t>
      осуществление контроля над процессом оценки кредитного риска, который обеспечивается следующим:</w:t>
      </w:r>
    </w:p>
    <w:bookmarkEnd w:id="485"/>
    <w:bookmarkStart w:name="z4738" w:id="486"/>
    <w:p>
      <w:pPr>
        <w:spacing w:after="0"/>
        <w:ind w:left="0"/>
        <w:jc w:val="both"/>
      </w:pPr>
      <w:r>
        <w:rPr>
          <w:rFonts w:ascii="Times New Roman"/>
          <w:b w:val="false"/>
          <w:i w:val="false"/>
          <w:color w:val="000000"/>
          <w:sz w:val="28"/>
        </w:rPr>
        <w:t>
      принятием необходимых мер по обеспечению полноты и достоверности информации в целях принятия решений;</w:t>
      </w:r>
    </w:p>
    <w:bookmarkEnd w:id="486"/>
    <w:bookmarkStart w:name="z4739" w:id="487"/>
    <w:p>
      <w:pPr>
        <w:spacing w:after="0"/>
        <w:ind w:left="0"/>
        <w:jc w:val="both"/>
      </w:pPr>
      <w:r>
        <w:rPr>
          <w:rFonts w:ascii="Times New Roman"/>
          <w:b w:val="false"/>
          <w:i w:val="false"/>
          <w:color w:val="000000"/>
          <w:sz w:val="28"/>
        </w:rPr>
        <w:t xml:space="preserve">
      соблюдением требований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Закона о банках</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 (далее - Закон о бухгалтерском учете и финансовой отчетности),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внутренних политик и процедур по управлению кредитным риском;</w:t>
      </w:r>
    </w:p>
    <w:bookmarkEnd w:id="487"/>
    <w:bookmarkStart w:name="z4740" w:id="488"/>
    <w:p>
      <w:pPr>
        <w:spacing w:after="0"/>
        <w:ind w:left="0"/>
        <w:jc w:val="both"/>
      </w:pPr>
      <w:r>
        <w:rPr>
          <w:rFonts w:ascii="Times New Roman"/>
          <w:b w:val="false"/>
          <w:i w:val="false"/>
          <w:color w:val="000000"/>
          <w:sz w:val="28"/>
        </w:rPr>
        <w:t>
      принятием мер по обеспечению полной и достоверной управленческой, регуляторной и финансовой отчетности;</w:t>
      </w:r>
    </w:p>
    <w:bookmarkEnd w:id="488"/>
    <w:bookmarkStart w:name="z4741" w:id="489"/>
    <w:p>
      <w:pPr>
        <w:spacing w:after="0"/>
        <w:ind w:left="0"/>
        <w:jc w:val="both"/>
      </w:pPr>
      <w:r>
        <w:rPr>
          <w:rFonts w:ascii="Times New Roman"/>
          <w:b w:val="false"/>
          <w:i w:val="false"/>
          <w:color w:val="000000"/>
          <w:sz w:val="28"/>
        </w:rPr>
        <w:t>
      наличием независимой от бизнес-подразделений процедуры оценки займов;</w:t>
      </w:r>
    </w:p>
    <w:bookmarkEnd w:id="489"/>
    <w:bookmarkStart w:name="z4742" w:id="490"/>
    <w:p>
      <w:pPr>
        <w:spacing w:after="0"/>
        <w:ind w:left="0"/>
        <w:jc w:val="both"/>
      </w:pPr>
      <w:r>
        <w:rPr>
          <w:rFonts w:ascii="Times New Roman"/>
          <w:b w:val="false"/>
          <w:i w:val="false"/>
          <w:color w:val="000000"/>
          <w:sz w:val="28"/>
        </w:rPr>
        <w:t>
      утверждением адекватной системы классификации активов по уровню кредитного риска, основанной на использовании всей доступной информации в процессе оценки займов;</w:t>
      </w:r>
    </w:p>
    <w:bookmarkEnd w:id="490"/>
    <w:bookmarkStart w:name="z4743" w:id="491"/>
    <w:p>
      <w:pPr>
        <w:spacing w:after="0"/>
        <w:ind w:left="0"/>
        <w:jc w:val="both"/>
      </w:pPr>
      <w:r>
        <w:rPr>
          <w:rFonts w:ascii="Times New Roman"/>
          <w:b w:val="false"/>
          <w:i w:val="false"/>
          <w:color w:val="000000"/>
          <w:sz w:val="28"/>
        </w:rPr>
        <w:t>
      наличием детально и в полном объеме регламентированных процедур взаимодействия между участниками процесса управления кредитным риском;</w:t>
      </w:r>
    </w:p>
    <w:bookmarkEnd w:id="491"/>
    <w:bookmarkStart w:name="z4744" w:id="492"/>
    <w:p>
      <w:pPr>
        <w:spacing w:after="0"/>
        <w:ind w:left="0"/>
        <w:jc w:val="both"/>
      </w:pPr>
      <w:r>
        <w:rPr>
          <w:rFonts w:ascii="Times New Roman"/>
          <w:b w:val="false"/>
          <w:i w:val="false"/>
          <w:color w:val="000000"/>
          <w:sz w:val="28"/>
        </w:rPr>
        <w:t>
      построение эффективной системы внутреннего контроля, включающей оценку соответствия уровня провизий ожидаемым потерям в рамках утвержденной методики формирования провизий и внутреннего процесса оценки достаточности капитала;</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Абзацы одиннадцатый, двенадцатый, тринадцатый, четырнадцатый, пятнадцатый, шестнадцатый, семнадцатый и восемнадцатый подпункта 1) </w:t>
      </w:r>
      <w:r>
        <w:rPr>
          <w:rFonts w:ascii="Times New Roman"/>
          <w:b w:val="false"/>
          <w:i w:val="false"/>
          <w:color w:val="ff0000"/>
          <w:sz w:val="28"/>
        </w:rPr>
        <w:t>вводятся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(тексты исключены);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пункта 42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756" w:id="493"/>
    <w:p>
      <w:pPr>
        <w:spacing w:after="0"/>
        <w:ind w:left="0"/>
        <w:jc w:val="both"/>
      </w:pPr>
      <w:r>
        <w:rPr>
          <w:rFonts w:ascii="Times New Roman"/>
          <w:b w:val="false"/>
          <w:i w:val="false"/>
          <w:color w:val="000000"/>
          <w:sz w:val="28"/>
        </w:rPr>
        <w:t>
      2) банк осуществляет кредитную деятельность и управление кредитным риском в рамках утвержденной кредитной политики, которая включает, но не ограничиваясь, следующее:</w:t>
      </w:r>
    </w:p>
    <w:bookmarkEnd w:id="493"/>
    <w:bookmarkStart w:name="z4757" w:id="494"/>
    <w:p>
      <w:pPr>
        <w:spacing w:after="0"/>
        <w:ind w:left="0"/>
        <w:jc w:val="both"/>
      </w:pPr>
      <w:r>
        <w:rPr>
          <w:rFonts w:ascii="Times New Roman"/>
          <w:b w:val="false"/>
          <w:i w:val="false"/>
          <w:color w:val="000000"/>
          <w:sz w:val="28"/>
        </w:rPr>
        <w:t>
      основные направления кредитной деятельности банка;</w:t>
      </w:r>
    </w:p>
    <w:bookmarkEnd w:id="494"/>
    <w:bookmarkStart w:name="z4758" w:id="495"/>
    <w:p>
      <w:pPr>
        <w:spacing w:after="0"/>
        <w:ind w:left="0"/>
        <w:jc w:val="both"/>
      </w:pPr>
      <w:r>
        <w:rPr>
          <w:rFonts w:ascii="Times New Roman"/>
          <w:b w:val="false"/>
          <w:i w:val="false"/>
          <w:color w:val="000000"/>
          <w:sz w:val="28"/>
        </w:rPr>
        <w:t>
      участников кредитного процесса и сферы их ответственности;</w:t>
      </w:r>
    </w:p>
    <w:bookmarkEnd w:id="495"/>
    <w:bookmarkStart w:name="z4759" w:id="496"/>
    <w:p>
      <w:pPr>
        <w:spacing w:after="0"/>
        <w:ind w:left="0"/>
        <w:jc w:val="both"/>
      </w:pPr>
      <w:r>
        <w:rPr>
          <w:rFonts w:ascii="Times New Roman"/>
          <w:b w:val="false"/>
          <w:i w:val="false"/>
          <w:color w:val="000000"/>
          <w:sz w:val="28"/>
        </w:rPr>
        <w:t>
      внутренний порядок принятия кредитных решений, включая порядок рассмотрения и одобрения кредитов, в том числе в отношении кредитования лиц, связанных с банком особыми отношениями, лимиты кредитования в целях ограничения концентрации кредитного риска;</w:t>
      </w:r>
    </w:p>
    <w:bookmarkEnd w:id="496"/>
    <w:bookmarkStart w:name="z4760" w:id="497"/>
    <w:p>
      <w:pPr>
        <w:spacing w:after="0"/>
        <w:ind w:left="0"/>
        <w:jc w:val="both"/>
      </w:pPr>
      <w:r>
        <w:rPr>
          <w:rFonts w:ascii="Times New Roman"/>
          <w:b w:val="false"/>
          <w:i w:val="false"/>
          <w:color w:val="000000"/>
          <w:sz w:val="28"/>
        </w:rPr>
        <w:t>
      процедуру анализа кредитоспособности заемщика.</w:t>
      </w:r>
    </w:p>
    <w:bookmarkEnd w:id="497"/>
    <w:bookmarkStart w:name="z4761" w:id="498"/>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превышает 0,01 (ноль целых одну сотую) процента от собственного капитала банка, размер которого выше 100 (ста) миллиардов тенге, или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498"/>
    <w:bookmarkStart w:name="z4762" w:id="499"/>
    <w:p>
      <w:pPr>
        <w:spacing w:after="0"/>
        <w:ind w:left="0"/>
        <w:jc w:val="both"/>
      </w:pPr>
      <w:r>
        <w:rPr>
          <w:rFonts w:ascii="Times New Roman"/>
          <w:b w:val="false"/>
          <w:i w:val="false"/>
          <w:color w:val="000000"/>
          <w:sz w:val="28"/>
        </w:rPr>
        <w:t>
      наличие постоянного и достаточного дохода заемщика;</w:t>
      </w:r>
    </w:p>
    <w:bookmarkEnd w:id="499"/>
    <w:bookmarkStart w:name="z4763" w:id="500"/>
    <w:p>
      <w:pPr>
        <w:spacing w:after="0"/>
        <w:ind w:left="0"/>
        <w:jc w:val="both"/>
      </w:pPr>
      <w:r>
        <w:rPr>
          <w:rFonts w:ascii="Times New Roman"/>
          <w:b w:val="false"/>
          <w:i w:val="false"/>
          <w:color w:val="000000"/>
          <w:sz w:val="28"/>
        </w:rPr>
        <w:t>
      наличие недвижимого и другого имущества;</w:t>
      </w:r>
    </w:p>
    <w:bookmarkEnd w:id="500"/>
    <w:bookmarkStart w:name="z4764" w:id="501"/>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01"/>
    <w:bookmarkStart w:name="z4765" w:id="502"/>
    <w:p>
      <w:pPr>
        <w:spacing w:after="0"/>
        <w:ind w:left="0"/>
        <w:jc w:val="both"/>
      </w:pPr>
      <w:r>
        <w:rPr>
          <w:rFonts w:ascii="Times New Roman"/>
          <w:b w:val="false"/>
          <w:i w:val="false"/>
          <w:color w:val="000000"/>
          <w:sz w:val="28"/>
        </w:rPr>
        <w:t>
      долговая нагрузка;</w:t>
      </w:r>
    </w:p>
    <w:bookmarkEnd w:id="502"/>
    <w:bookmarkStart w:name="z4766" w:id="503"/>
    <w:p>
      <w:pPr>
        <w:spacing w:after="0"/>
        <w:ind w:left="0"/>
        <w:jc w:val="both"/>
      </w:pPr>
      <w:r>
        <w:rPr>
          <w:rFonts w:ascii="Times New Roman"/>
          <w:b w:val="false"/>
          <w:i w:val="false"/>
          <w:color w:val="000000"/>
          <w:sz w:val="28"/>
        </w:rPr>
        <w:t>
      платежная дисциплина (кредитная история) по займам;</w:t>
      </w:r>
    </w:p>
    <w:bookmarkEnd w:id="503"/>
    <w:bookmarkStart w:name="z4767" w:id="504"/>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504"/>
    <w:bookmarkStart w:name="z4768" w:id="505"/>
    <w:p>
      <w:pPr>
        <w:spacing w:after="0"/>
        <w:ind w:left="0"/>
        <w:jc w:val="both"/>
      </w:pPr>
      <w:r>
        <w:rPr>
          <w:rFonts w:ascii="Times New Roman"/>
          <w:b w:val="false"/>
          <w:i w:val="false"/>
          <w:color w:val="000000"/>
          <w:sz w:val="28"/>
        </w:rPr>
        <w:t>
      наличие иной задолженности;</w:t>
      </w:r>
    </w:p>
    <w:bookmarkEnd w:id="505"/>
    <w:bookmarkStart w:name="z4769" w:id="506"/>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06"/>
    <w:bookmarkStart w:name="z4770" w:id="507"/>
    <w:p>
      <w:pPr>
        <w:spacing w:after="0"/>
        <w:ind w:left="0"/>
        <w:jc w:val="both"/>
      </w:pPr>
      <w:r>
        <w:rPr>
          <w:rFonts w:ascii="Times New Roman"/>
          <w:b w:val="false"/>
          <w:i w:val="false"/>
          <w:color w:val="000000"/>
          <w:sz w:val="28"/>
        </w:rPr>
        <w:t>
      остатки и операции по банковским счетам;</w:t>
      </w:r>
    </w:p>
    <w:bookmarkEnd w:id="507"/>
    <w:bookmarkStart w:name="z4771" w:id="508"/>
    <w:p>
      <w:pPr>
        <w:spacing w:after="0"/>
        <w:ind w:left="0"/>
        <w:jc w:val="both"/>
      </w:pPr>
      <w:r>
        <w:rPr>
          <w:rFonts w:ascii="Times New Roman"/>
          <w:b w:val="false"/>
          <w:i w:val="false"/>
          <w:color w:val="000000"/>
          <w:sz w:val="28"/>
        </w:rPr>
        <w:t>
      информация об образовании и занятости (сфере деятельности);</w:t>
      </w:r>
    </w:p>
    <w:bookmarkEnd w:id="508"/>
    <w:bookmarkStart w:name="z4772" w:id="509"/>
    <w:p>
      <w:pPr>
        <w:spacing w:after="0"/>
        <w:ind w:left="0"/>
        <w:jc w:val="both"/>
      </w:pPr>
      <w:r>
        <w:rPr>
          <w:rFonts w:ascii="Times New Roman"/>
          <w:b w:val="false"/>
          <w:i w:val="false"/>
          <w:color w:val="000000"/>
          <w:sz w:val="28"/>
        </w:rPr>
        <w:t>
      социально-демографические характеристики;</w:t>
      </w:r>
    </w:p>
    <w:bookmarkEnd w:id="509"/>
    <w:bookmarkStart w:name="z4773" w:id="510"/>
    <w:p>
      <w:pPr>
        <w:spacing w:after="0"/>
        <w:ind w:left="0"/>
        <w:jc w:val="both"/>
      </w:pPr>
      <w:r>
        <w:rPr>
          <w:rFonts w:ascii="Times New Roman"/>
          <w:b w:val="false"/>
          <w:i w:val="false"/>
          <w:color w:val="000000"/>
          <w:sz w:val="28"/>
        </w:rPr>
        <w:t>
      информация о целевом использовании денег;</w:t>
      </w:r>
    </w:p>
    <w:bookmarkEnd w:id="510"/>
    <w:bookmarkStart w:name="z4774" w:id="511"/>
    <w:p>
      <w:pPr>
        <w:spacing w:after="0"/>
        <w:ind w:left="0"/>
        <w:jc w:val="both"/>
      </w:pPr>
      <w:r>
        <w:rPr>
          <w:rFonts w:ascii="Times New Roman"/>
          <w:b w:val="false"/>
          <w:i w:val="false"/>
          <w:color w:val="000000"/>
          <w:sz w:val="28"/>
        </w:rPr>
        <w:t>
      дополнительная информация о доходах заемщика.</w:t>
      </w:r>
    </w:p>
    <w:bookmarkEnd w:id="511"/>
    <w:bookmarkStart w:name="z4775" w:id="512"/>
    <w:p>
      <w:pPr>
        <w:spacing w:after="0"/>
        <w:ind w:left="0"/>
        <w:jc w:val="both"/>
      </w:pPr>
      <w:r>
        <w:rPr>
          <w:rFonts w:ascii="Times New Roman"/>
          <w:b w:val="false"/>
          <w:i w:val="false"/>
          <w:color w:val="000000"/>
          <w:sz w:val="28"/>
        </w:rPr>
        <w:t>
      В случае, если совокупная сумма предоставленных займов и принятых условных обязательств физическому лицу не превышает 0,01 (ноль целых одну сотую) процента от собственного капитала банка, размер которого выше 100 (ста) миллиардов тенге, или не превышает 0,02 (ноль целых две сотых) процента от собственного капитала банка, размер которого до 100 (ста) миллиардов тенге, банк осуществляет анализ кредитоспособности на основе следующей информации и с учетом следующих факторов (но не ограничиваясь ими):</w:t>
      </w:r>
    </w:p>
    <w:bookmarkEnd w:id="512"/>
    <w:bookmarkStart w:name="z4776" w:id="513"/>
    <w:p>
      <w:pPr>
        <w:spacing w:after="0"/>
        <w:ind w:left="0"/>
        <w:jc w:val="both"/>
      </w:pPr>
      <w:r>
        <w:rPr>
          <w:rFonts w:ascii="Times New Roman"/>
          <w:b w:val="false"/>
          <w:i w:val="false"/>
          <w:color w:val="000000"/>
          <w:sz w:val="28"/>
        </w:rPr>
        <w:t>
      наличие постоянного и достаточного дохода заемщика;</w:t>
      </w:r>
    </w:p>
    <w:bookmarkEnd w:id="513"/>
    <w:bookmarkStart w:name="z4777" w:id="514"/>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14"/>
    <w:bookmarkStart w:name="z4778" w:id="515"/>
    <w:p>
      <w:pPr>
        <w:spacing w:after="0"/>
        <w:ind w:left="0"/>
        <w:jc w:val="both"/>
      </w:pPr>
      <w:r>
        <w:rPr>
          <w:rFonts w:ascii="Times New Roman"/>
          <w:b w:val="false"/>
          <w:i w:val="false"/>
          <w:color w:val="000000"/>
          <w:sz w:val="28"/>
        </w:rPr>
        <w:t>
      долговая нагрузка;</w:t>
      </w:r>
    </w:p>
    <w:bookmarkEnd w:id="515"/>
    <w:bookmarkStart w:name="z4779" w:id="516"/>
    <w:p>
      <w:pPr>
        <w:spacing w:after="0"/>
        <w:ind w:left="0"/>
        <w:jc w:val="both"/>
      </w:pPr>
      <w:r>
        <w:rPr>
          <w:rFonts w:ascii="Times New Roman"/>
          <w:b w:val="false"/>
          <w:i w:val="false"/>
          <w:color w:val="000000"/>
          <w:sz w:val="28"/>
        </w:rPr>
        <w:t>
      платежная дисциплина (кредитная история) по займам;</w:t>
      </w:r>
    </w:p>
    <w:bookmarkEnd w:id="516"/>
    <w:bookmarkStart w:name="z4780" w:id="517"/>
    <w:p>
      <w:pPr>
        <w:spacing w:after="0"/>
        <w:ind w:left="0"/>
        <w:jc w:val="both"/>
      </w:pPr>
      <w:r>
        <w:rPr>
          <w:rFonts w:ascii="Times New Roman"/>
          <w:b w:val="false"/>
          <w:i w:val="false"/>
          <w:color w:val="000000"/>
          <w:sz w:val="28"/>
        </w:rPr>
        <w:t>
      рейтинг заемщика в скоринговых системах банка (при наличии);</w:t>
      </w:r>
    </w:p>
    <w:bookmarkEnd w:id="517"/>
    <w:bookmarkStart w:name="z4781" w:id="518"/>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18"/>
    <w:bookmarkStart w:name="z4782" w:id="519"/>
    <w:p>
      <w:pPr>
        <w:spacing w:after="0"/>
        <w:ind w:left="0"/>
        <w:jc w:val="both"/>
      </w:pPr>
      <w:r>
        <w:rPr>
          <w:rFonts w:ascii="Times New Roman"/>
          <w:b w:val="false"/>
          <w:i w:val="false"/>
          <w:color w:val="000000"/>
          <w:sz w:val="28"/>
        </w:rPr>
        <w:t>
      остатки и операции по банковским счетам;</w:t>
      </w:r>
    </w:p>
    <w:bookmarkEnd w:id="519"/>
    <w:bookmarkStart w:name="z4783" w:id="520"/>
    <w:p>
      <w:pPr>
        <w:spacing w:after="0"/>
        <w:ind w:left="0"/>
        <w:jc w:val="both"/>
      </w:pPr>
      <w:r>
        <w:rPr>
          <w:rFonts w:ascii="Times New Roman"/>
          <w:b w:val="false"/>
          <w:i w:val="false"/>
          <w:color w:val="000000"/>
          <w:sz w:val="28"/>
        </w:rPr>
        <w:t>
      информация об образовании и занятости;</w:t>
      </w:r>
    </w:p>
    <w:bookmarkEnd w:id="520"/>
    <w:bookmarkStart w:name="z4784" w:id="521"/>
    <w:p>
      <w:pPr>
        <w:spacing w:after="0"/>
        <w:ind w:left="0"/>
        <w:jc w:val="both"/>
      </w:pPr>
      <w:r>
        <w:rPr>
          <w:rFonts w:ascii="Times New Roman"/>
          <w:b w:val="false"/>
          <w:i w:val="false"/>
          <w:color w:val="000000"/>
          <w:sz w:val="28"/>
        </w:rPr>
        <w:t>
      социально-демографические характеристики;</w:t>
      </w:r>
    </w:p>
    <w:bookmarkEnd w:id="521"/>
    <w:bookmarkStart w:name="z4785" w:id="522"/>
    <w:p>
      <w:pPr>
        <w:spacing w:after="0"/>
        <w:ind w:left="0"/>
        <w:jc w:val="both"/>
      </w:pPr>
      <w:r>
        <w:rPr>
          <w:rFonts w:ascii="Times New Roman"/>
          <w:b w:val="false"/>
          <w:i w:val="false"/>
          <w:color w:val="000000"/>
          <w:sz w:val="28"/>
        </w:rPr>
        <w:t>
      информация о целевом использовании денег (при наличии).</w:t>
      </w:r>
    </w:p>
    <w:bookmarkEnd w:id="522"/>
    <w:bookmarkStart w:name="z4786" w:id="523"/>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523"/>
    <w:bookmarkStart w:name="z4787" w:id="524"/>
    <w:p>
      <w:pPr>
        <w:spacing w:after="0"/>
        <w:ind w:left="0"/>
        <w:jc w:val="both"/>
      </w:pPr>
      <w:r>
        <w:rPr>
          <w:rFonts w:ascii="Times New Roman"/>
          <w:b w:val="false"/>
          <w:i w:val="false"/>
          <w:color w:val="000000"/>
          <w:sz w:val="28"/>
        </w:rPr>
        <w:t>
      анализ финансовой отчетности и основных финансовых коэффициентов заемщиков-юридических лиц (рентабельность, соотношение собственных и заемных средств, план поступления денежных средств (за исключением случаев выдачи займов финансовым организациям, размещения вкладов в финансовых организациях, открытия кредитной линии сроком менее 6 (шести) месяцев), уровня доходов.</w:t>
      </w:r>
    </w:p>
    <w:bookmarkEnd w:id="524"/>
    <w:bookmarkStart w:name="z4788" w:id="525"/>
    <w:p>
      <w:pPr>
        <w:spacing w:after="0"/>
        <w:ind w:left="0"/>
        <w:jc w:val="both"/>
      </w:pPr>
      <w:r>
        <w:rPr>
          <w:rFonts w:ascii="Times New Roman"/>
          <w:b w:val="false"/>
          <w:i w:val="false"/>
          <w:color w:val="000000"/>
          <w:sz w:val="28"/>
        </w:rPr>
        <w:t>
      Принимаемая для анализа финансовая отчетность заемщика (за исключением случаев финансирования в виде овердрафтов, кредитных карт, кредитных линий сроком менее 6 (шести) месяцев) совокупные обязательства которого перед банком превышают 0,2 (ноль целых две десятых) процента от собственного капитала банка, соответствует следующим требованиям:</w:t>
      </w:r>
    </w:p>
    <w:bookmarkEnd w:id="525"/>
    <w:bookmarkStart w:name="z4789" w:id="526"/>
    <w:p>
      <w:pPr>
        <w:spacing w:after="0"/>
        <w:ind w:left="0"/>
        <w:jc w:val="both"/>
      </w:pPr>
      <w:r>
        <w:rPr>
          <w:rFonts w:ascii="Times New Roman"/>
          <w:b w:val="false"/>
          <w:i w:val="false"/>
          <w:color w:val="000000"/>
          <w:sz w:val="28"/>
        </w:rPr>
        <w:t>
      наличие трех основных форм отчетности с расшифровками счетов по материальным (значимым) компонентам баланса (более 5 (пяти) процентов от валюты баланса) и (или) отчета о прибылях и убытках (более 5 (пяти) процентов от выручки). Данное требование не распространяется на акционерное общество "Фонд национального благосостояния "Самрук-Қазына", акционерное общество "Национальный управляющий холдинг "Байтерек", публичные компании, имеющие долгосрочный кредитный рейтинг по международной шкале агентств Standard &amp; Poor's (Стандард энд Пурс), Moody's Investors Service (Мудис Инвесторс Сервис) или Fitch Ratings Inc. (Фич Рейтингс), юридические лица,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 а также на случаи наличия аудированной финансовой отчетности, заверенной компаниями, соответствующими листинговым требованиям фондовой биржи;</w:t>
      </w:r>
    </w:p>
    <w:bookmarkEnd w:id="526"/>
    <w:bookmarkStart w:name="z4790" w:id="527"/>
    <w:p>
      <w:pPr>
        <w:spacing w:after="0"/>
        <w:ind w:left="0"/>
        <w:jc w:val="both"/>
      </w:pPr>
      <w:r>
        <w:rPr>
          <w:rFonts w:ascii="Times New Roman"/>
          <w:b w:val="false"/>
          <w:i w:val="false"/>
          <w:color w:val="000000"/>
          <w:sz w:val="28"/>
        </w:rPr>
        <w:t>
      соответствие между всеми формами финансовой отчетности;</w:t>
      </w:r>
    </w:p>
    <w:bookmarkEnd w:id="527"/>
    <w:bookmarkStart w:name="z4791" w:id="528"/>
    <w:p>
      <w:pPr>
        <w:spacing w:after="0"/>
        <w:ind w:left="0"/>
        <w:jc w:val="both"/>
      </w:pPr>
      <w:r>
        <w:rPr>
          <w:rFonts w:ascii="Times New Roman"/>
          <w:b w:val="false"/>
          <w:i w:val="false"/>
          <w:color w:val="000000"/>
          <w:sz w:val="28"/>
        </w:rPr>
        <w:t>
      наличие подписей ответственных (уполномоченных) лиц заемщика под предоставленной финансовой отчетностью.</w:t>
      </w:r>
    </w:p>
    <w:bookmarkEnd w:id="528"/>
    <w:bookmarkStart w:name="z4792" w:id="529"/>
    <w:p>
      <w:pPr>
        <w:spacing w:after="0"/>
        <w:ind w:left="0"/>
        <w:jc w:val="both"/>
      </w:pPr>
      <w:r>
        <w:rPr>
          <w:rFonts w:ascii="Times New Roman"/>
          <w:b w:val="false"/>
          <w:i w:val="false"/>
          <w:color w:val="000000"/>
          <w:sz w:val="28"/>
        </w:rPr>
        <w:t>
      В случае наличия аудированной финансовой отчетности, соответствующей листинговым требованиям фондовой биржи, приоритетно используется аудированная финансовая отчетность для любых целей, а также не требуется ее сверка с налоговой декларацией. Сверка с налоговой декларацией финансовой отчетности не требуется для юридических лиц, которые включаются в консолидированную финансовую отчетность частных международных корпораций (акции или доли участия, которых не листингуются на фондовой бирже либо международных фондовых биржах) или публичных международных корпораций.</w:t>
      </w:r>
    </w:p>
    <w:bookmarkEnd w:id="529"/>
    <w:bookmarkStart w:name="z4793" w:id="530"/>
    <w:p>
      <w:pPr>
        <w:spacing w:after="0"/>
        <w:ind w:left="0"/>
        <w:jc w:val="both"/>
      </w:pPr>
      <w:r>
        <w:rPr>
          <w:rFonts w:ascii="Times New Roman"/>
          <w:b w:val="false"/>
          <w:i w:val="false"/>
          <w:color w:val="000000"/>
          <w:sz w:val="28"/>
        </w:rPr>
        <w:t>
      С 1 января 2026 года требуется наличие налоговой декларации (в случае, когда сдача налоговой декларации требуется в соответствии с Налоговым кодексом) и отсутствие противоречия данных из налоговой декларации с данными из финансовой отчетности, используемой для оценки признаков обесценения и расчета денежных потоков в целях расчета провизий, за один и тот же период. Расхождения между показателями финансовой и налоговой отчетностей допускаются ввиду различий бухгалтерского и налогового учета. В иных случаях причины существенных расхождений данных между формами отчетности описываются в заключении ответственного подразделения банка по заемщику и рассматриваются уполномоченным коллегиальным органом банка.</w:t>
      </w:r>
    </w:p>
    <w:bookmarkEnd w:id="530"/>
    <w:bookmarkStart w:name="z4794" w:id="531"/>
    <w:p>
      <w:pPr>
        <w:spacing w:after="0"/>
        <w:ind w:left="0"/>
        <w:jc w:val="both"/>
      </w:pPr>
      <w:r>
        <w:rPr>
          <w:rFonts w:ascii="Times New Roman"/>
          <w:b w:val="false"/>
          <w:i w:val="false"/>
          <w:color w:val="000000"/>
          <w:sz w:val="28"/>
        </w:rPr>
        <w:t>
      Банк устанавливает существенность расхождений во внутренних документах. В случае отсутствия установленных порогов существенными расхождениями являются (но не ограничиваясь) расхождения в размере более 30 (тридцати) процентов по показателям выручки, итогового финансового результата, рентабельности активов.</w:t>
      </w:r>
    </w:p>
    <w:bookmarkEnd w:id="531"/>
    <w:bookmarkStart w:name="z4795" w:id="532"/>
    <w:p>
      <w:pPr>
        <w:spacing w:after="0"/>
        <w:ind w:left="0"/>
        <w:jc w:val="both"/>
      </w:pPr>
      <w:r>
        <w:rPr>
          <w:rFonts w:ascii="Times New Roman"/>
          <w:b w:val="false"/>
          <w:i w:val="false"/>
          <w:color w:val="000000"/>
          <w:sz w:val="28"/>
        </w:rPr>
        <w:t>
      В случае объективности финансовой отчетности банк использует финансовую отчетность в целях оценки признаков обесценения и расчета денежных потоков в целях расчета провизий.</w:t>
      </w:r>
    </w:p>
    <w:bookmarkEnd w:id="532"/>
    <w:bookmarkStart w:name="z4796" w:id="533"/>
    <w:p>
      <w:pPr>
        <w:spacing w:after="0"/>
        <w:ind w:left="0"/>
        <w:jc w:val="both"/>
      </w:pPr>
      <w:r>
        <w:rPr>
          <w:rFonts w:ascii="Times New Roman"/>
          <w:b w:val="false"/>
          <w:i w:val="false"/>
          <w:color w:val="000000"/>
          <w:sz w:val="28"/>
        </w:rPr>
        <w:t xml:space="preserve">
      В случае отсутствия финансовой отчетности и (или) налоговой декларации (в случае, когда их сдача не требуется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 и финансовой отчетности) запрашивается информация об активах заемщика и иных источниках дохода (выписки по банковским счетам, подтверждение наличия в собственности соответствующих активов).</w:t>
      </w:r>
    </w:p>
    <w:bookmarkEnd w:id="533"/>
    <w:bookmarkStart w:name="z4797" w:id="534"/>
    <w:p>
      <w:pPr>
        <w:spacing w:after="0"/>
        <w:ind w:left="0"/>
        <w:jc w:val="both"/>
      </w:pPr>
      <w:r>
        <w:rPr>
          <w:rFonts w:ascii="Times New Roman"/>
          <w:b w:val="false"/>
          <w:i w:val="false"/>
          <w:color w:val="000000"/>
          <w:sz w:val="28"/>
        </w:rPr>
        <w:t>
      В рамках оценки признаков обесценения и категорий обесценения допускается использование финансовой отчетности заемщиков, созаемщиков, гарантов и поручителей в консолидированном виде.</w:t>
      </w:r>
    </w:p>
    <w:bookmarkEnd w:id="534"/>
    <w:bookmarkStart w:name="z4798" w:id="535"/>
    <w:p>
      <w:pPr>
        <w:spacing w:after="0"/>
        <w:ind w:left="0"/>
        <w:jc w:val="both"/>
      </w:pPr>
      <w:r>
        <w:rPr>
          <w:rFonts w:ascii="Times New Roman"/>
          <w:b w:val="false"/>
          <w:i w:val="false"/>
          <w:color w:val="000000"/>
          <w:sz w:val="28"/>
        </w:rPr>
        <w:t>
      В целях расчета ожидаемых денежных потоков по займу допускается консолидация финансовой отчетности заемщика (в том числе со стороны банка) с отчетностью лиц (в том числе связанных с заемщиком), имеющих договорные обязательства с заемщиком по погашению его задолженности в случае наступления его неплатежеспособности, а также с отчетностью лиц, не имеющих таких договорных обязательств с заемщиком, если активы данного лица выступают обеспечением по обязательствам заемщика.</w:t>
      </w:r>
    </w:p>
    <w:bookmarkEnd w:id="535"/>
    <w:bookmarkStart w:name="z4799" w:id="536"/>
    <w:p>
      <w:pPr>
        <w:spacing w:after="0"/>
        <w:ind w:left="0"/>
        <w:jc w:val="both"/>
      </w:pPr>
      <w:r>
        <w:rPr>
          <w:rFonts w:ascii="Times New Roman"/>
          <w:b w:val="false"/>
          <w:i w:val="false"/>
          <w:color w:val="000000"/>
          <w:sz w:val="28"/>
        </w:rPr>
        <w:t>
      В случае выдачи банком займа без соблюдения требований, установленных абзацами тридцать третьим, тридцать четвертым, тридцать пятым, тридцать шестым, тридцать восьмым, тридцать девятым, сорок первым, сорок вторым и сорок третьим настоящего подпункта, все обязательства заемщика относятся к обесцененным активам по международным стандартам финансовой отчетности (далее – МСФО);</w:t>
      </w:r>
    </w:p>
    <w:bookmarkEnd w:id="536"/>
    <w:bookmarkStart w:name="z4800" w:id="537"/>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37"/>
    <w:bookmarkStart w:name="z4801" w:id="538"/>
    <w:p>
      <w:pPr>
        <w:spacing w:after="0"/>
        <w:ind w:left="0"/>
        <w:jc w:val="both"/>
      </w:pPr>
      <w:r>
        <w:rPr>
          <w:rFonts w:ascii="Times New Roman"/>
          <w:b w:val="false"/>
          <w:i w:val="false"/>
          <w:color w:val="000000"/>
          <w:sz w:val="28"/>
        </w:rPr>
        <w:t>
      платежная дисциплина (кредитная история) по займам;</w:t>
      </w:r>
    </w:p>
    <w:bookmarkEnd w:id="538"/>
    <w:bookmarkStart w:name="z4802" w:id="539"/>
    <w:p>
      <w:pPr>
        <w:spacing w:after="0"/>
        <w:ind w:left="0"/>
        <w:jc w:val="both"/>
      </w:pPr>
      <w:r>
        <w:rPr>
          <w:rFonts w:ascii="Times New Roman"/>
          <w:b w:val="false"/>
          <w:i w:val="false"/>
          <w:color w:val="000000"/>
          <w:sz w:val="28"/>
        </w:rPr>
        <w:t>
      уровень ликвидных активов;</w:t>
      </w:r>
    </w:p>
    <w:bookmarkEnd w:id="539"/>
    <w:bookmarkStart w:name="z4803" w:id="540"/>
    <w:p>
      <w:pPr>
        <w:spacing w:after="0"/>
        <w:ind w:left="0"/>
        <w:jc w:val="both"/>
      </w:pPr>
      <w:r>
        <w:rPr>
          <w:rFonts w:ascii="Times New Roman"/>
          <w:b w:val="false"/>
          <w:i w:val="false"/>
          <w:color w:val="000000"/>
          <w:sz w:val="28"/>
        </w:rPr>
        <w:t>
      долговая нагрузка;</w:t>
      </w:r>
    </w:p>
    <w:bookmarkEnd w:id="540"/>
    <w:bookmarkStart w:name="z4804" w:id="541"/>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41"/>
    <w:bookmarkStart w:name="z4805" w:id="542"/>
    <w:p>
      <w:pPr>
        <w:spacing w:after="0"/>
        <w:ind w:left="0"/>
        <w:jc w:val="both"/>
      </w:pPr>
      <w:r>
        <w:rPr>
          <w:rFonts w:ascii="Times New Roman"/>
          <w:b w:val="false"/>
          <w:i w:val="false"/>
          <w:color w:val="000000"/>
          <w:sz w:val="28"/>
        </w:rPr>
        <w:t>
      прогнозные свободные денежные потоки;</w:t>
      </w:r>
    </w:p>
    <w:bookmarkEnd w:id="542"/>
    <w:bookmarkStart w:name="z4806" w:id="543"/>
    <w:p>
      <w:pPr>
        <w:spacing w:after="0"/>
        <w:ind w:left="0"/>
        <w:jc w:val="both"/>
      </w:pPr>
      <w:r>
        <w:rPr>
          <w:rFonts w:ascii="Times New Roman"/>
          <w:b w:val="false"/>
          <w:i w:val="false"/>
          <w:color w:val="000000"/>
          <w:sz w:val="28"/>
        </w:rPr>
        <w:t>
      оценка внешней среды заемщика (состояние экономики, отрасли, перспективы развития, диверсификация производства и рынков сбыта, и характеристики операционной деятельности заемщика, такие как рыночная доля заемщика на соответствующем рынке, позиционирование продукта заемщика, география операций, цикличность бизнеса, изменения в предпочтениях потребителей, изменение в технологии, барьеры вхождения в сектор экономики и другие факторы, влияющие на возможность компании получать доход и поддерживать цены);</w:t>
      </w:r>
    </w:p>
    <w:bookmarkEnd w:id="543"/>
    <w:bookmarkStart w:name="z4807" w:id="544"/>
    <w:p>
      <w:pPr>
        <w:spacing w:after="0"/>
        <w:ind w:left="0"/>
        <w:jc w:val="both"/>
      </w:pPr>
      <w:r>
        <w:rPr>
          <w:rFonts w:ascii="Times New Roman"/>
          <w:b w:val="false"/>
          <w:i w:val="false"/>
          <w:color w:val="000000"/>
          <w:sz w:val="28"/>
        </w:rPr>
        <w:t>
      оценка качества управления (опыт, компетентность, деловая репутация);</w:t>
      </w:r>
    </w:p>
    <w:bookmarkEnd w:id="544"/>
    <w:bookmarkStart w:name="z4808" w:id="545"/>
    <w:p>
      <w:pPr>
        <w:spacing w:after="0"/>
        <w:ind w:left="0"/>
        <w:jc w:val="both"/>
      </w:pPr>
      <w:r>
        <w:rPr>
          <w:rFonts w:ascii="Times New Roman"/>
          <w:b w:val="false"/>
          <w:i w:val="false"/>
          <w:color w:val="000000"/>
          <w:sz w:val="28"/>
        </w:rPr>
        <w:t>
      оценка собственников заемщика;</w:t>
      </w:r>
    </w:p>
    <w:bookmarkEnd w:id="545"/>
    <w:bookmarkStart w:name="z4809" w:id="546"/>
    <w:p>
      <w:pPr>
        <w:spacing w:after="0"/>
        <w:ind w:left="0"/>
        <w:jc w:val="both"/>
      </w:pPr>
      <w:r>
        <w:rPr>
          <w:rFonts w:ascii="Times New Roman"/>
          <w:b w:val="false"/>
          <w:i w:val="false"/>
          <w:color w:val="000000"/>
          <w:sz w:val="28"/>
        </w:rPr>
        <w:t>
      наличие фактов вовлеченности в судебные разбирательства;</w:t>
      </w:r>
    </w:p>
    <w:bookmarkEnd w:id="546"/>
    <w:bookmarkStart w:name="z4810" w:id="547"/>
    <w:p>
      <w:pPr>
        <w:spacing w:after="0"/>
        <w:ind w:left="0"/>
        <w:jc w:val="both"/>
      </w:pPr>
      <w:r>
        <w:rPr>
          <w:rFonts w:ascii="Times New Roman"/>
          <w:b w:val="false"/>
          <w:i w:val="false"/>
          <w:color w:val="000000"/>
          <w:sz w:val="28"/>
        </w:rPr>
        <w:t>
      включение в список неблагонадежных налогоплательщиков.</w:t>
      </w:r>
    </w:p>
    <w:bookmarkEnd w:id="547"/>
    <w:bookmarkStart w:name="z4811" w:id="548"/>
    <w:p>
      <w:pPr>
        <w:spacing w:after="0"/>
        <w:ind w:left="0"/>
        <w:jc w:val="both"/>
      </w:pPr>
      <w:r>
        <w:rPr>
          <w:rFonts w:ascii="Times New Roman"/>
          <w:b w:val="false"/>
          <w:i w:val="false"/>
          <w:color w:val="000000"/>
          <w:sz w:val="28"/>
        </w:rPr>
        <w:t>
      В случае, если совокупная сумма предоставленных займов и условных обязательств юридическому лицу не превышает 500 (пятьсот) миллионов тенге или 0,2 (ноль целых две десятых) процента от собственного капитала банка, банк осуществляет анализ кредитоспособности на основе следующей информации и с учетом следующих факторов (но не ограничиваясь ими):</w:t>
      </w:r>
    </w:p>
    <w:bookmarkEnd w:id="548"/>
    <w:bookmarkStart w:name="z4812" w:id="549"/>
    <w:p>
      <w:pPr>
        <w:spacing w:after="0"/>
        <w:ind w:left="0"/>
        <w:jc w:val="both"/>
      </w:pPr>
      <w:r>
        <w:rPr>
          <w:rFonts w:ascii="Times New Roman"/>
          <w:b w:val="false"/>
          <w:i w:val="false"/>
          <w:color w:val="000000"/>
          <w:sz w:val="28"/>
        </w:rPr>
        <w:t>
      наличие постоянного и достаточного дохода заемщика;</w:t>
      </w:r>
    </w:p>
    <w:bookmarkEnd w:id="549"/>
    <w:bookmarkStart w:name="z4813" w:id="550"/>
    <w:p>
      <w:pPr>
        <w:spacing w:after="0"/>
        <w:ind w:left="0"/>
        <w:jc w:val="both"/>
      </w:pPr>
      <w:r>
        <w:rPr>
          <w:rFonts w:ascii="Times New Roman"/>
          <w:b w:val="false"/>
          <w:i w:val="false"/>
          <w:color w:val="000000"/>
          <w:sz w:val="28"/>
        </w:rPr>
        <w:t>
      наличие ссудной задолженности, в том числе перед другими кредиторами;</w:t>
      </w:r>
    </w:p>
    <w:bookmarkEnd w:id="550"/>
    <w:bookmarkStart w:name="z4814" w:id="551"/>
    <w:p>
      <w:pPr>
        <w:spacing w:after="0"/>
        <w:ind w:left="0"/>
        <w:jc w:val="both"/>
      </w:pPr>
      <w:r>
        <w:rPr>
          <w:rFonts w:ascii="Times New Roman"/>
          <w:b w:val="false"/>
          <w:i w:val="false"/>
          <w:color w:val="000000"/>
          <w:sz w:val="28"/>
        </w:rPr>
        <w:t>
      платежная дисциплина (кредитная история) по займам;</w:t>
      </w:r>
    </w:p>
    <w:bookmarkEnd w:id="551"/>
    <w:bookmarkStart w:name="z4815" w:id="552"/>
    <w:p>
      <w:pPr>
        <w:spacing w:after="0"/>
        <w:ind w:left="0"/>
        <w:jc w:val="both"/>
      </w:pPr>
      <w:r>
        <w:rPr>
          <w:rFonts w:ascii="Times New Roman"/>
          <w:b w:val="false"/>
          <w:i w:val="false"/>
          <w:color w:val="000000"/>
          <w:sz w:val="28"/>
        </w:rPr>
        <w:t>
      долговая нагрузка;</w:t>
      </w:r>
    </w:p>
    <w:bookmarkEnd w:id="552"/>
    <w:bookmarkStart w:name="z4816" w:id="553"/>
    <w:p>
      <w:pPr>
        <w:spacing w:after="0"/>
        <w:ind w:left="0"/>
        <w:jc w:val="both"/>
      </w:pPr>
      <w:r>
        <w:rPr>
          <w:rFonts w:ascii="Times New Roman"/>
          <w:b w:val="false"/>
          <w:i w:val="false"/>
          <w:color w:val="000000"/>
          <w:sz w:val="28"/>
        </w:rPr>
        <w:t>
      наличие иных источников погашения задолженности перед банком;</w:t>
      </w:r>
    </w:p>
    <w:bookmarkEnd w:id="553"/>
    <w:bookmarkStart w:name="z4817" w:id="554"/>
    <w:p>
      <w:pPr>
        <w:spacing w:after="0"/>
        <w:ind w:left="0"/>
        <w:jc w:val="both"/>
      </w:pPr>
      <w:r>
        <w:rPr>
          <w:rFonts w:ascii="Times New Roman"/>
          <w:b w:val="false"/>
          <w:i w:val="false"/>
          <w:color w:val="000000"/>
          <w:sz w:val="28"/>
        </w:rPr>
        <w:t>
      перспективы развития соответствующей отрасли.</w:t>
      </w:r>
    </w:p>
    <w:bookmarkEnd w:id="554"/>
    <w:bookmarkStart w:name="z4818" w:id="555"/>
    <w:p>
      <w:pPr>
        <w:spacing w:after="0"/>
        <w:ind w:left="0"/>
        <w:jc w:val="both"/>
      </w:pPr>
      <w:r>
        <w:rPr>
          <w:rFonts w:ascii="Times New Roman"/>
          <w:b w:val="false"/>
          <w:i w:val="false"/>
          <w:color w:val="000000"/>
          <w:sz w:val="28"/>
        </w:rPr>
        <w:t>
      В зависимости от отрасли кредитования и типа заемщика набор количественных и качественных показателей меняется.</w:t>
      </w:r>
    </w:p>
    <w:bookmarkEnd w:id="555"/>
    <w:bookmarkStart w:name="z4819" w:id="556"/>
    <w:p>
      <w:pPr>
        <w:spacing w:after="0"/>
        <w:ind w:left="0"/>
        <w:jc w:val="both"/>
      </w:pPr>
      <w:r>
        <w:rPr>
          <w:rFonts w:ascii="Times New Roman"/>
          <w:b w:val="false"/>
          <w:i w:val="false"/>
          <w:color w:val="000000"/>
          <w:sz w:val="28"/>
        </w:rPr>
        <w:t>
      В отношении физических и юридических лиц кредитная политика определяет случаи (выдача банковских гарантий, аккредитивов, банковских гарантий, выпущенных под банковскую контргарантию, а также займов, обеспеченных высоколиквидными активами), при которых не применяется анализ кредитоспособности заемщика. Для банков, являющихся дочерними организациями банков-нерезидентов Республики Казахстан, имеющих долгосрочный кредитный рейтинг в иностранной валюте не ниже "A-" по международной шкале агентства Standard &amp; Poor's (Стандард энд Пурс) или рейтинг аналогичного уровня одного из других рейтинговых агентств, допускается использование анализа кредитоспособности на уровне родительской организации заемщика или организации, включающей заемщика в консолидированную финансовую отчетность, проведенного родительским банком или аффилированным по отношению к банку лицом, при условии, что анализ осуществлен не позднее 12 (двенадцати) месяцев c даты обращения заемщика;</w:t>
      </w:r>
    </w:p>
    <w:bookmarkEnd w:id="556"/>
    <w:bookmarkStart w:name="z4820" w:id="557"/>
    <w:p>
      <w:pPr>
        <w:spacing w:after="0"/>
        <w:ind w:left="0"/>
        <w:jc w:val="both"/>
      </w:pPr>
      <w:r>
        <w:rPr>
          <w:rFonts w:ascii="Times New Roman"/>
          <w:b w:val="false"/>
          <w:i w:val="false"/>
          <w:color w:val="000000"/>
          <w:sz w:val="28"/>
        </w:rPr>
        <w:t xml:space="preserve">
      внутренний порядок принятия кредитных решений в отношении реструктуризации займов, который основан на принципах обоснованности, целесообразности и независимости, и включает описание случаев и условий реструктуризации займов. Банк определяет случаи и виды реструктуризации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зарегистрированного в Реестре государственной регистрации нормативных правовых актов под № 16502 (далее – Постановление № 269).</w:t>
      </w:r>
    </w:p>
    <w:bookmarkEnd w:id="557"/>
    <w:bookmarkStart w:name="z4821" w:id="558"/>
    <w:p>
      <w:pPr>
        <w:spacing w:after="0"/>
        <w:ind w:left="0"/>
        <w:jc w:val="both"/>
      </w:pPr>
      <w:r>
        <w:rPr>
          <w:rFonts w:ascii="Times New Roman"/>
          <w:b w:val="false"/>
          <w:i w:val="false"/>
          <w:color w:val="000000"/>
          <w:sz w:val="28"/>
        </w:rPr>
        <w:t>
      Банк принимает решение о реструктуризации займов по заемщикам с учетом наличия перспектив погашения займа после реструктуризации.</w:t>
      </w:r>
    </w:p>
    <w:bookmarkEnd w:id="558"/>
    <w:bookmarkStart w:name="z4822" w:id="559"/>
    <w:p>
      <w:pPr>
        <w:spacing w:after="0"/>
        <w:ind w:left="0"/>
        <w:jc w:val="both"/>
      </w:pPr>
      <w:r>
        <w:rPr>
          <w:rFonts w:ascii="Times New Roman"/>
          <w:b w:val="false"/>
          <w:i w:val="false"/>
          <w:color w:val="000000"/>
          <w:sz w:val="28"/>
        </w:rPr>
        <w:t xml:space="preserve">
      Решение о проведении вынужденной реструктуризации займов, определяемой в соответствии с требованиями </w:t>
      </w:r>
      <w:r>
        <w:rPr>
          <w:rFonts w:ascii="Times New Roman"/>
          <w:b w:val="false"/>
          <w:i w:val="false"/>
          <w:color w:val="000000"/>
          <w:sz w:val="28"/>
        </w:rPr>
        <w:t>Постановления № 269</w:t>
      </w:r>
      <w:r>
        <w:rPr>
          <w:rFonts w:ascii="Times New Roman"/>
          <w:b w:val="false"/>
          <w:i w:val="false"/>
          <w:color w:val="000000"/>
          <w:sz w:val="28"/>
        </w:rPr>
        <w:t>, (по заемщикам и (или) группе взаимосвязанных заемщиков, общая задолженность, включая условные обязательства, которых превышает 1 (один) процент от собственного капитала банка, размер которого выше 100 (ста) миллиардов тенге, или 2 (два) процента от собственного капитала банка, размер которого до 100 (ста) миллиардов тенге) принимается правлением банка или уполномоченным коллегиальным органом банка, в состав которого входит председатель правления банка. Информация о принятых решениях на ежеквартальной основе направляется членам совета директоров банка;</w:t>
      </w:r>
    </w:p>
    <w:bookmarkEnd w:id="559"/>
    <w:bookmarkStart w:name="z4823" w:id="560"/>
    <w:p>
      <w:pPr>
        <w:spacing w:after="0"/>
        <w:ind w:left="0"/>
        <w:jc w:val="both"/>
      </w:pPr>
      <w:r>
        <w:rPr>
          <w:rFonts w:ascii="Times New Roman"/>
          <w:b w:val="false"/>
          <w:i w:val="false"/>
          <w:color w:val="000000"/>
          <w:sz w:val="28"/>
        </w:rPr>
        <w:t>
      приемлемые методы управления кредитным риском, учитывающие (но, не ограничиваясь ими) следующие факторы:</w:t>
      </w:r>
    </w:p>
    <w:bookmarkEnd w:id="560"/>
    <w:bookmarkStart w:name="z4824" w:id="561"/>
    <w:p>
      <w:pPr>
        <w:spacing w:after="0"/>
        <w:ind w:left="0"/>
        <w:jc w:val="both"/>
      </w:pPr>
      <w:r>
        <w:rPr>
          <w:rFonts w:ascii="Times New Roman"/>
          <w:b w:val="false"/>
          <w:i w:val="false"/>
          <w:color w:val="000000"/>
          <w:sz w:val="28"/>
        </w:rPr>
        <w:t>
      собственные знания и опыт в использовании метода;</w:t>
      </w:r>
    </w:p>
    <w:bookmarkEnd w:id="561"/>
    <w:bookmarkStart w:name="z4825" w:id="562"/>
    <w:p>
      <w:pPr>
        <w:spacing w:after="0"/>
        <w:ind w:left="0"/>
        <w:jc w:val="both"/>
      </w:pPr>
      <w:r>
        <w:rPr>
          <w:rFonts w:ascii="Times New Roman"/>
          <w:b w:val="false"/>
          <w:i w:val="false"/>
          <w:color w:val="000000"/>
          <w:sz w:val="28"/>
        </w:rPr>
        <w:t>
      экономическую эффективность;</w:t>
      </w:r>
    </w:p>
    <w:bookmarkEnd w:id="562"/>
    <w:bookmarkStart w:name="z4826" w:id="563"/>
    <w:p>
      <w:pPr>
        <w:spacing w:after="0"/>
        <w:ind w:left="0"/>
        <w:jc w:val="both"/>
      </w:pPr>
      <w:r>
        <w:rPr>
          <w:rFonts w:ascii="Times New Roman"/>
          <w:b w:val="false"/>
          <w:i w:val="false"/>
          <w:color w:val="000000"/>
          <w:sz w:val="28"/>
        </w:rPr>
        <w:t>
      тип заемщика и (или) контрагентов, их финансовое состояние;</w:t>
      </w:r>
    </w:p>
    <w:bookmarkEnd w:id="563"/>
    <w:bookmarkStart w:name="z4827" w:id="564"/>
    <w:p>
      <w:pPr>
        <w:spacing w:after="0"/>
        <w:ind w:left="0"/>
        <w:jc w:val="both"/>
      </w:pPr>
      <w:r>
        <w:rPr>
          <w:rFonts w:ascii="Times New Roman"/>
          <w:b w:val="false"/>
          <w:i w:val="false"/>
          <w:color w:val="000000"/>
          <w:sz w:val="28"/>
        </w:rPr>
        <w:t>
      3) банк осуществляет кредитную деятельность в соответствии с внутренними документами, регламентирующими совершение операций, которым присущ кредитный риск, который включает, но не ограничиваясь, следующее:</w:t>
      </w:r>
    </w:p>
    <w:bookmarkEnd w:id="564"/>
    <w:bookmarkStart w:name="z4828" w:id="565"/>
    <w:p>
      <w:pPr>
        <w:spacing w:after="0"/>
        <w:ind w:left="0"/>
        <w:jc w:val="both"/>
      </w:pPr>
      <w:r>
        <w:rPr>
          <w:rFonts w:ascii="Times New Roman"/>
          <w:b w:val="false"/>
          <w:i w:val="false"/>
          <w:color w:val="000000"/>
          <w:sz w:val="28"/>
        </w:rPr>
        <w:t>
      условия предоставления кредитов физическим и юридическим лицам (в том числе лицам, связанным с банком особыми отношениями и работникам банка) по каждому виду кредитования, включая требования к потенциальным заемщикам и (или) контрагентам;</w:t>
      </w:r>
    </w:p>
    <w:bookmarkEnd w:id="565"/>
    <w:bookmarkStart w:name="z4829" w:id="566"/>
    <w:p>
      <w:pPr>
        <w:spacing w:after="0"/>
        <w:ind w:left="0"/>
        <w:jc w:val="both"/>
      </w:pPr>
      <w:r>
        <w:rPr>
          <w:rFonts w:ascii="Times New Roman"/>
          <w:b w:val="false"/>
          <w:i w:val="false"/>
          <w:color w:val="000000"/>
          <w:sz w:val="28"/>
        </w:rPr>
        <w:t>
      требования к информации заемщика и (или) контрагента, в том числе финансовой и иной информации, необходимой для принятия решения о выдаче кредита;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3)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831" w:id="567"/>
    <w:p>
      <w:pPr>
        <w:spacing w:after="0"/>
        <w:ind w:left="0"/>
        <w:jc w:val="both"/>
      </w:pPr>
      <w:r>
        <w:rPr>
          <w:rFonts w:ascii="Times New Roman"/>
          <w:b w:val="false"/>
          <w:i w:val="false"/>
          <w:color w:val="000000"/>
          <w:sz w:val="28"/>
        </w:rPr>
        <w:t>
      внутренний порядок корпоративного кредитования, предусматривающий анализ сектора кредитования, кредитную историю заемщика, а также рейтинговую систему на основе количественных и качественных факторов, позволяющих обеспечивать детализированную оценку качества кредитов;</w:t>
      </w:r>
    </w:p>
    <w:bookmarkEnd w:id="567"/>
    <w:bookmarkStart w:name="z4832" w:id="568"/>
    <w:p>
      <w:pPr>
        <w:spacing w:after="0"/>
        <w:ind w:left="0"/>
        <w:jc w:val="both"/>
      </w:pPr>
      <w:r>
        <w:rPr>
          <w:rFonts w:ascii="Times New Roman"/>
          <w:b w:val="false"/>
          <w:i w:val="false"/>
          <w:color w:val="000000"/>
          <w:sz w:val="28"/>
        </w:rPr>
        <w:t>
      методологию кредитного скоринга или анализа платежеспособности и кредитоспособности заемщика, основанного на количественных и качественных характеристиках, и внутренний порядок его использования;</w:t>
      </w:r>
    </w:p>
    <w:bookmarkEnd w:id="568"/>
    <w:bookmarkStart w:name="z4833" w:id="569"/>
    <w:p>
      <w:pPr>
        <w:spacing w:after="0"/>
        <w:ind w:left="0"/>
        <w:jc w:val="both"/>
      </w:pPr>
      <w:r>
        <w:rPr>
          <w:rFonts w:ascii="Times New Roman"/>
          <w:b w:val="false"/>
          <w:i w:val="false"/>
          <w:color w:val="000000"/>
          <w:sz w:val="28"/>
        </w:rPr>
        <w:t>
      установление минимального допустимого уровня рейтинга (при наличии), при котором выдается кредит;</w:t>
      </w:r>
    </w:p>
    <w:bookmarkEnd w:id="569"/>
    <w:bookmarkStart w:name="z4834" w:id="570"/>
    <w:p>
      <w:pPr>
        <w:spacing w:after="0"/>
        <w:ind w:left="0"/>
        <w:jc w:val="both"/>
      </w:pPr>
      <w:r>
        <w:rPr>
          <w:rFonts w:ascii="Times New Roman"/>
          <w:b w:val="false"/>
          <w:i w:val="false"/>
          <w:color w:val="000000"/>
          <w:sz w:val="28"/>
        </w:rPr>
        <w:t>
      внутренний порядок и процедуры одобрения, утверждения, анализа и мониторинга отклонений от кредитной политики, стандартов, процедур, лимитов;</w:t>
      </w:r>
    </w:p>
    <w:bookmarkEnd w:id="570"/>
    <w:bookmarkStart w:name="z4835" w:id="571"/>
    <w:p>
      <w:pPr>
        <w:spacing w:after="0"/>
        <w:ind w:left="0"/>
        <w:jc w:val="both"/>
      </w:pPr>
      <w:r>
        <w:rPr>
          <w:rFonts w:ascii="Times New Roman"/>
          <w:b w:val="false"/>
          <w:i w:val="false"/>
          <w:color w:val="000000"/>
          <w:sz w:val="28"/>
        </w:rPr>
        <w:t>
      установление лимитов кредитования и (или) ставок вознаграждения по кредитам с учетом анализа заемщиков, в том числе с учетом, при наличии, рейтингов и (или) скоринговой оценки заемщиков. Лимиты кредитования, в том числе по беззалоговым кредитам, устанавливаются по валютам, отраслям, категориям заемщиков (контрагентов) (финансовые организации, корпоративное, розничное кредитование), продуктам, группам связанных сторон и на одного заемщика;</w:t>
      </w:r>
    </w:p>
    <w:bookmarkEnd w:id="571"/>
    <w:bookmarkStart w:name="z4836" w:id="572"/>
    <w:p>
      <w:pPr>
        <w:spacing w:after="0"/>
        <w:ind w:left="0"/>
        <w:jc w:val="both"/>
      </w:pPr>
      <w:r>
        <w:rPr>
          <w:rFonts w:ascii="Times New Roman"/>
          <w:b w:val="false"/>
          <w:i w:val="false"/>
          <w:color w:val="000000"/>
          <w:sz w:val="28"/>
        </w:rPr>
        <w:t>
      внутренний порядок рассмотрения, одобрения заявлений о выдаче кредитов, принятия решений о выдаче (отказе в выдаче), в том числе в отношении кредитования лиц, связанных с банком особыми отношениями;</w:t>
      </w:r>
    </w:p>
    <w:bookmarkEnd w:id="572"/>
    <w:bookmarkStart w:name="z4837" w:id="573"/>
    <w:p>
      <w:pPr>
        <w:spacing w:after="0"/>
        <w:ind w:left="0"/>
        <w:jc w:val="both"/>
      </w:pPr>
      <w:r>
        <w:rPr>
          <w:rFonts w:ascii="Times New Roman"/>
          <w:b w:val="false"/>
          <w:i w:val="false"/>
          <w:color w:val="000000"/>
          <w:sz w:val="28"/>
        </w:rPr>
        <w:t>
      внутренний порядок в отношении залогового обеспечения, определяющий:</w:t>
      </w:r>
    </w:p>
    <w:bookmarkEnd w:id="573"/>
    <w:bookmarkStart w:name="z4838" w:id="574"/>
    <w:p>
      <w:pPr>
        <w:spacing w:after="0"/>
        <w:ind w:left="0"/>
        <w:jc w:val="both"/>
      </w:pPr>
      <w:r>
        <w:rPr>
          <w:rFonts w:ascii="Times New Roman"/>
          <w:b w:val="false"/>
          <w:i w:val="false"/>
          <w:color w:val="000000"/>
          <w:sz w:val="28"/>
        </w:rPr>
        <w:t>
      виды залога и критерии их приемлемости для отдельных продуктов банка, в том числе для принятия решения о возможности кредитования заемщика;</w:t>
      </w:r>
    </w:p>
    <w:bookmarkEnd w:id="574"/>
    <w:bookmarkStart w:name="z4839" w:id="575"/>
    <w:p>
      <w:pPr>
        <w:spacing w:after="0"/>
        <w:ind w:left="0"/>
        <w:jc w:val="both"/>
      </w:pPr>
      <w:r>
        <w:rPr>
          <w:rFonts w:ascii="Times New Roman"/>
          <w:b w:val="false"/>
          <w:i w:val="false"/>
          <w:color w:val="000000"/>
          <w:sz w:val="28"/>
        </w:rPr>
        <w:t>
      требования к структуре залога в зависимости от вида залога и вида банковского продукта;</w:t>
      </w:r>
    </w:p>
    <w:bookmarkEnd w:id="575"/>
    <w:bookmarkStart w:name="z4840" w:id="576"/>
    <w:p>
      <w:pPr>
        <w:spacing w:after="0"/>
        <w:ind w:left="0"/>
        <w:jc w:val="both"/>
      </w:pPr>
      <w:r>
        <w:rPr>
          <w:rFonts w:ascii="Times New Roman"/>
          <w:b w:val="false"/>
          <w:i w:val="false"/>
          <w:color w:val="000000"/>
          <w:sz w:val="28"/>
        </w:rPr>
        <w:t>
      лимиты по видам залога в зависимости от вида продуктов и структуры кредитного портфеля банка;</w:t>
      </w:r>
    </w:p>
    <w:bookmarkEnd w:id="576"/>
    <w:bookmarkStart w:name="z4841" w:id="577"/>
    <w:p>
      <w:pPr>
        <w:spacing w:after="0"/>
        <w:ind w:left="0"/>
        <w:jc w:val="both"/>
      </w:pPr>
      <w:r>
        <w:rPr>
          <w:rFonts w:ascii="Times New Roman"/>
          <w:b w:val="false"/>
          <w:i w:val="false"/>
          <w:color w:val="000000"/>
          <w:sz w:val="28"/>
        </w:rPr>
        <w:t>
      определение ликвидного и высоколиквидного залога;</w:t>
      </w:r>
    </w:p>
    <w:bookmarkEnd w:id="577"/>
    <w:bookmarkStart w:name="z4842" w:id="578"/>
    <w:p>
      <w:pPr>
        <w:spacing w:after="0"/>
        <w:ind w:left="0"/>
        <w:jc w:val="both"/>
      </w:pPr>
      <w:r>
        <w:rPr>
          <w:rFonts w:ascii="Times New Roman"/>
          <w:b w:val="false"/>
          <w:i w:val="false"/>
          <w:color w:val="000000"/>
          <w:sz w:val="28"/>
        </w:rPr>
        <w:t>
      долю 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578"/>
    <w:bookmarkStart w:name="z4843" w:id="579"/>
    <w:p>
      <w:pPr>
        <w:spacing w:after="0"/>
        <w:ind w:left="0"/>
        <w:jc w:val="both"/>
      </w:pPr>
      <w:r>
        <w:rPr>
          <w:rFonts w:ascii="Times New Roman"/>
          <w:b w:val="false"/>
          <w:i w:val="false"/>
          <w:color w:val="000000"/>
          <w:sz w:val="28"/>
        </w:rPr>
        <w:t>
      долю высоколиквидного залога в общей структуре обеспечения, коэффициент, характеризующий отношение суммы займа к стоимости залога (наименьшая стоимость из оценки залога оценщиком и работниками подразделения залоговой службы (при наличии обоих) либо имеющаяся оценка);</w:t>
      </w:r>
    </w:p>
    <w:bookmarkEnd w:id="579"/>
    <w:bookmarkStart w:name="z4844" w:id="580"/>
    <w:p>
      <w:pPr>
        <w:spacing w:after="0"/>
        <w:ind w:left="0"/>
        <w:jc w:val="both"/>
      </w:pPr>
      <w:r>
        <w:rPr>
          <w:rFonts w:ascii="Times New Roman"/>
          <w:b w:val="false"/>
          <w:i w:val="false"/>
          <w:color w:val="000000"/>
          <w:sz w:val="28"/>
        </w:rPr>
        <w:t>
      требования к проведению осмотра залога в рамках принятия залога и выдачи займа, в том числе с определением требований к использованию специальных технических средств (допускается выборочный подход к проведению осмотра в рамках ипотечного кредитования, с обеспечением независимой выборки не менее 20 (двадцати) процентов от общего количества всех залогов);</w:t>
      </w:r>
    </w:p>
    <w:bookmarkEnd w:id="580"/>
    <w:bookmarkStart w:name="z4845" w:id="581"/>
    <w:p>
      <w:pPr>
        <w:spacing w:after="0"/>
        <w:ind w:left="0"/>
        <w:jc w:val="both"/>
      </w:pPr>
      <w:r>
        <w:rPr>
          <w:rFonts w:ascii="Times New Roman"/>
          <w:b w:val="false"/>
          <w:i w:val="false"/>
          <w:color w:val="000000"/>
          <w:sz w:val="28"/>
        </w:rPr>
        <w:t>
      порядок мониторинга и работы с залоговым обеспечением с установлением требований в зависимости от вида залога;</w:t>
      </w:r>
    </w:p>
    <w:bookmarkEnd w:id="581"/>
    <w:bookmarkStart w:name="z4846" w:id="582"/>
    <w:p>
      <w:pPr>
        <w:spacing w:after="0"/>
        <w:ind w:left="0"/>
        <w:jc w:val="both"/>
      </w:pPr>
      <w:r>
        <w:rPr>
          <w:rFonts w:ascii="Times New Roman"/>
          <w:b w:val="false"/>
          <w:i w:val="false"/>
          <w:color w:val="000000"/>
          <w:sz w:val="28"/>
        </w:rPr>
        <w:t>
      требования к переоценке залогового имущества;</w:t>
      </w:r>
    </w:p>
    <w:bookmarkEnd w:id="582"/>
    <w:bookmarkStart w:name="z4847" w:id="583"/>
    <w:p>
      <w:pPr>
        <w:spacing w:after="0"/>
        <w:ind w:left="0"/>
        <w:jc w:val="both"/>
      </w:pPr>
      <w:r>
        <w:rPr>
          <w:rFonts w:ascii="Times New Roman"/>
          <w:b w:val="false"/>
          <w:i w:val="false"/>
          <w:color w:val="000000"/>
          <w:sz w:val="28"/>
        </w:rPr>
        <w:t>
      процедуры, обеспечивающие юридическую силу залогов, в том числе требования к регистрации залога в зависимости от вида залога и вида продукта банка;</w:t>
      </w:r>
    </w:p>
    <w:bookmarkEnd w:id="583"/>
    <w:bookmarkStart w:name="z4848" w:id="584"/>
    <w:p>
      <w:pPr>
        <w:spacing w:after="0"/>
        <w:ind w:left="0"/>
        <w:jc w:val="both"/>
      </w:pPr>
      <w:r>
        <w:rPr>
          <w:rFonts w:ascii="Times New Roman"/>
          <w:b w:val="false"/>
          <w:i w:val="false"/>
          <w:color w:val="000000"/>
          <w:sz w:val="28"/>
        </w:rPr>
        <w:t>
      оперативную оценку достаточности залогового обеспечения, с учетом изменения показателей производственной деятельности заемщика, стоимости и сохранности обеспечения, в том числе, его подверженности иным обстоятельствам, существенно влияющим на его оценку;</w:t>
      </w:r>
    </w:p>
    <w:bookmarkEnd w:id="584"/>
    <w:bookmarkStart w:name="z4849" w:id="585"/>
    <w:p>
      <w:pPr>
        <w:spacing w:after="0"/>
        <w:ind w:left="0"/>
        <w:jc w:val="both"/>
      </w:pPr>
      <w:r>
        <w:rPr>
          <w:rFonts w:ascii="Times New Roman"/>
          <w:b w:val="false"/>
          <w:i w:val="false"/>
          <w:color w:val="000000"/>
          <w:sz w:val="28"/>
        </w:rPr>
        <w:t>
      процедуры реализации залогового обеспечения в зависимости от залога и вида продукта банка, включая предельные сроки реализации и взыскания;</w:t>
      </w:r>
    </w:p>
    <w:bookmarkEnd w:id="585"/>
    <w:bookmarkStart w:name="z4850" w:id="586"/>
    <w:p>
      <w:pPr>
        <w:spacing w:after="0"/>
        <w:ind w:left="0"/>
        <w:jc w:val="both"/>
      </w:pPr>
      <w:r>
        <w:rPr>
          <w:rFonts w:ascii="Times New Roman"/>
          <w:b w:val="false"/>
          <w:i w:val="false"/>
          <w:color w:val="000000"/>
          <w:sz w:val="28"/>
        </w:rPr>
        <w:t>
      объективность (адекватность) оценки стоимости залогового обеспечения со стороны оценщиков, за исключением случая, когда совокупная сумма предоставленных займов и условных обязательств заемщику не превышает 0,1 (ноль целых одну десятую) процента от собственного капитала банка и объектом оценки является недвижимость в городах республиканского значения и в городах, являющихся областными центрами;</w:t>
      </w:r>
    </w:p>
    <w:bookmarkEnd w:id="586"/>
    <w:bookmarkStart w:name="z4851" w:id="587"/>
    <w:p>
      <w:pPr>
        <w:spacing w:after="0"/>
        <w:ind w:left="0"/>
        <w:jc w:val="both"/>
      </w:pPr>
      <w:r>
        <w:rPr>
          <w:rFonts w:ascii="Times New Roman"/>
          <w:b w:val="false"/>
          <w:i w:val="false"/>
          <w:color w:val="000000"/>
          <w:sz w:val="28"/>
        </w:rPr>
        <w:t>
      требования к установлению дисконтов по отношению к стоимости залога, определенной оценщиком в зависимости от различных параметров (некорректный подход к оценке, наличие аффилированности оценщика и заемщика, наличие аффилированности оценщика и банка, в том числе сотрудников залоговой службы) и ликвидности залогового обеспечения.</w:t>
      </w:r>
    </w:p>
    <w:bookmarkEnd w:id="587"/>
    <w:bookmarkStart w:name="z4852" w:id="588"/>
    <w:p>
      <w:pPr>
        <w:spacing w:after="0"/>
        <w:ind w:left="0"/>
        <w:jc w:val="both"/>
      </w:pPr>
      <w:r>
        <w:rPr>
          <w:rFonts w:ascii="Times New Roman"/>
          <w:b w:val="false"/>
          <w:i w:val="false"/>
          <w:color w:val="000000"/>
          <w:sz w:val="28"/>
        </w:rPr>
        <w:t>
      Банк при принятии решения о выдаче займа, залогом по которому выступает недвижимое имущество и нематериальные активы (права недропользования), рассматривает результаты оценки. В случае, когда рыночная стоимость, определенная на дату последней оценки оценщиком, составляет более 100 000 (ста тысяч) месячных расчетных показателей, для прав недропользования более 500 000 (пяти ста тысяч) месячных расчетных показателей, банк обеспечивает (не реже 1 (одного) раза в год) проведение оценки залога оценщиком.</w:t>
      </w:r>
    </w:p>
    <w:bookmarkEnd w:id="588"/>
    <w:bookmarkStart w:name="z4853" w:id="589"/>
    <w:p>
      <w:pPr>
        <w:spacing w:after="0"/>
        <w:ind w:left="0"/>
        <w:jc w:val="both"/>
      </w:pPr>
      <w:r>
        <w:rPr>
          <w:rFonts w:ascii="Times New Roman"/>
          <w:b w:val="false"/>
          <w:i w:val="false"/>
          <w:color w:val="000000"/>
          <w:sz w:val="28"/>
        </w:rPr>
        <w:t xml:space="preserve">
      Банк обеспечивает регистрацию залога вне зависимости от его вида в уполномоченном регистрирующем органе в случае наличия признаков значительного увеличения кредитного риска в соответствии с МСФО, а также требованиями </w:t>
      </w:r>
      <w:r>
        <w:rPr>
          <w:rFonts w:ascii="Times New Roman"/>
          <w:b w:val="false"/>
          <w:i w:val="false"/>
          <w:color w:val="000000"/>
          <w:sz w:val="28"/>
        </w:rPr>
        <w:t>Постановления № 269</w:t>
      </w:r>
      <w:r>
        <w:rPr>
          <w:rFonts w:ascii="Times New Roman"/>
          <w:b w:val="false"/>
          <w:i w:val="false"/>
          <w:color w:val="000000"/>
          <w:sz w:val="28"/>
        </w:rPr>
        <w:t xml:space="preserve"> по залогам, рыночная стоимость которых на дату последней оценки оценщиком составляет более 100 000 (ста тысяч) месячных расчетных показателей, по правам недропользования - более 500 000 (пяти ста тысяч) месячных расчетных показателей.</w:t>
      </w:r>
    </w:p>
    <w:bookmarkEnd w:id="589"/>
    <w:bookmarkStart w:name="z4854" w:id="590"/>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со стороны работников банка обеспечивает, но не ограничиваясь, использование корректных подходов к оценке, включая четкую формализацию требований к допустимым подходам к оценке при формировании внутренней оценки банка, а именно:</w:t>
      </w:r>
    </w:p>
    <w:bookmarkEnd w:id="590"/>
    <w:bookmarkStart w:name="z4855" w:id="591"/>
    <w:p>
      <w:pPr>
        <w:spacing w:after="0"/>
        <w:ind w:left="0"/>
        <w:jc w:val="both"/>
      </w:pPr>
      <w:r>
        <w:rPr>
          <w:rFonts w:ascii="Times New Roman"/>
          <w:b w:val="false"/>
          <w:i w:val="false"/>
          <w:color w:val="000000"/>
          <w:sz w:val="28"/>
        </w:rPr>
        <w:t>
      в рамках данного подхода устанавливается порядок применения различных подходов оценки в зависимости вида залога;</w:t>
      </w:r>
    </w:p>
    <w:bookmarkEnd w:id="591"/>
    <w:bookmarkStart w:name="z4856" w:id="592"/>
    <w:p>
      <w:pPr>
        <w:spacing w:after="0"/>
        <w:ind w:left="0"/>
        <w:jc w:val="both"/>
      </w:pPr>
      <w:r>
        <w:rPr>
          <w:rFonts w:ascii="Times New Roman"/>
          <w:b w:val="false"/>
          <w:i w:val="false"/>
          <w:color w:val="000000"/>
          <w:sz w:val="28"/>
        </w:rPr>
        <w:t>
      в случае применения экспертных оценок при оценке стоимости залога обеспечивается регламентированный процесс с указанием лимитов применения таких оценок;</w:t>
      </w:r>
    </w:p>
    <w:bookmarkEnd w:id="592"/>
    <w:bookmarkStart w:name="z4857" w:id="593"/>
    <w:p>
      <w:pPr>
        <w:spacing w:after="0"/>
        <w:ind w:left="0"/>
        <w:jc w:val="both"/>
      </w:pPr>
      <w:r>
        <w:rPr>
          <w:rFonts w:ascii="Times New Roman"/>
          <w:b w:val="false"/>
          <w:i w:val="false"/>
          <w:color w:val="000000"/>
          <w:sz w:val="28"/>
        </w:rPr>
        <w:t>
      в рамках доходного подхода при отрицательных операционных денежных потоках или отрицательном значении EBITDA (прибыль до вычета расходов по выплате процентов, налогов, износа и начисленной амортизации) по объекту за последние 4 (четыре) квартала либо за завершившийся календарный год не допускается применение подхода на основе дисконтированных денежных потоков. Данное требование не распространяется на случаи:</w:t>
      </w:r>
    </w:p>
    <w:bookmarkEnd w:id="593"/>
    <w:bookmarkStart w:name="z4858" w:id="594"/>
    <w:p>
      <w:pPr>
        <w:spacing w:after="0"/>
        <w:ind w:left="0"/>
        <w:jc w:val="both"/>
      </w:pPr>
      <w:r>
        <w:rPr>
          <w:rFonts w:ascii="Times New Roman"/>
          <w:b w:val="false"/>
          <w:i w:val="false"/>
          <w:color w:val="000000"/>
          <w:sz w:val="28"/>
        </w:rPr>
        <w:t>
      оценки компании в инвестиционной стадии, а также если на балансе оцениваемой компании имеются активы, в том числе контракты, способные генерировать денежный поток;</w:t>
      </w:r>
    </w:p>
    <w:bookmarkEnd w:id="594"/>
    <w:bookmarkStart w:name="z4859" w:id="595"/>
    <w:p>
      <w:pPr>
        <w:spacing w:after="0"/>
        <w:ind w:left="0"/>
        <w:jc w:val="both"/>
      </w:pPr>
      <w:r>
        <w:rPr>
          <w:rFonts w:ascii="Times New Roman"/>
          <w:b w:val="false"/>
          <w:i w:val="false"/>
          <w:color w:val="000000"/>
          <w:sz w:val="28"/>
        </w:rPr>
        <w:t>
      оценки объектов, способных генерировать денежный поток при наличии подтверждающей информаций или рыночных данных.</w:t>
      </w:r>
    </w:p>
    <w:bookmarkEnd w:id="595"/>
    <w:bookmarkStart w:name="z4860" w:id="596"/>
    <w:p>
      <w:pPr>
        <w:spacing w:after="0"/>
        <w:ind w:left="0"/>
        <w:jc w:val="both"/>
      </w:pPr>
      <w:r>
        <w:rPr>
          <w:rFonts w:ascii="Times New Roman"/>
          <w:b w:val="false"/>
          <w:i w:val="false"/>
          <w:color w:val="000000"/>
          <w:sz w:val="28"/>
        </w:rPr>
        <w:t>
      В рамках доходного подхода при расчете стоимости объекта используется ставка дисконтирования, соответствующая уровню риска объекта оценки, расчет которой устанавливается во внутренних документах банка.</w:t>
      </w:r>
    </w:p>
    <w:bookmarkEnd w:id="596"/>
    <w:bookmarkStart w:name="z4861" w:id="597"/>
    <w:p>
      <w:pPr>
        <w:spacing w:after="0"/>
        <w:ind w:left="0"/>
        <w:jc w:val="both"/>
      </w:pPr>
      <w:r>
        <w:rPr>
          <w:rFonts w:ascii="Times New Roman"/>
          <w:b w:val="false"/>
          <w:i w:val="false"/>
          <w:color w:val="000000"/>
          <w:sz w:val="28"/>
        </w:rPr>
        <w:t>
      В рамках сравнительного подхода при расчете стоимости объекта используются информация об имеющихся на рынке наиболее актуальных сделках и (или) предложения о продаже объектов, сопоставимых с объектом оценки, а в случае их отсутствия применяются надлежащие корректировки.</w:t>
      </w:r>
    </w:p>
    <w:bookmarkEnd w:id="597"/>
    <w:bookmarkStart w:name="z4862" w:id="598"/>
    <w:p>
      <w:pPr>
        <w:spacing w:after="0"/>
        <w:ind w:left="0"/>
        <w:jc w:val="both"/>
      </w:pPr>
      <w:r>
        <w:rPr>
          <w:rFonts w:ascii="Times New Roman"/>
          <w:b w:val="false"/>
          <w:i w:val="false"/>
          <w:color w:val="000000"/>
          <w:sz w:val="28"/>
        </w:rPr>
        <w:t>
      Внутренний порядок оценки объективности (адекватности) оценки стоимости залогового обеспечения, в том числе определенной оценщиком, со стороны подразделения залоговой службы банка, обеспечивает, но не ограничиваясь, четкую формализацию требований к перечню аналогов и критериям признания их сопоставимыми в разрезе:</w:t>
      </w:r>
    </w:p>
    <w:bookmarkEnd w:id="598"/>
    <w:bookmarkStart w:name="z4863" w:id="599"/>
    <w:p>
      <w:pPr>
        <w:spacing w:after="0"/>
        <w:ind w:left="0"/>
        <w:jc w:val="both"/>
      </w:pPr>
      <w:r>
        <w:rPr>
          <w:rFonts w:ascii="Times New Roman"/>
          <w:b w:val="false"/>
          <w:i w:val="false"/>
          <w:color w:val="000000"/>
          <w:sz w:val="28"/>
        </w:rPr>
        <w:t>
      типа и (или) подтипа объекта;</w:t>
      </w:r>
    </w:p>
    <w:bookmarkEnd w:id="599"/>
    <w:bookmarkStart w:name="z4864" w:id="600"/>
    <w:p>
      <w:pPr>
        <w:spacing w:after="0"/>
        <w:ind w:left="0"/>
        <w:jc w:val="both"/>
      </w:pPr>
      <w:r>
        <w:rPr>
          <w:rFonts w:ascii="Times New Roman"/>
          <w:b w:val="false"/>
          <w:i w:val="false"/>
          <w:color w:val="000000"/>
          <w:sz w:val="28"/>
        </w:rPr>
        <w:t>
      местоположения объекта;</w:t>
      </w:r>
    </w:p>
    <w:bookmarkEnd w:id="600"/>
    <w:bookmarkStart w:name="z4865" w:id="601"/>
    <w:p>
      <w:pPr>
        <w:spacing w:after="0"/>
        <w:ind w:left="0"/>
        <w:jc w:val="both"/>
      </w:pPr>
      <w:r>
        <w:rPr>
          <w:rFonts w:ascii="Times New Roman"/>
          <w:b w:val="false"/>
          <w:i w:val="false"/>
          <w:color w:val="000000"/>
          <w:sz w:val="28"/>
        </w:rPr>
        <w:t>
      общей площади объекта;</w:t>
      </w:r>
    </w:p>
    <w:bookmarkEnd w:id="601"/>
    <w:bookmarkStart w:name="z4866" w:id="602"/>
    <w:p>
      <w:pPr>
        <w:spacing w:after="0"/>
        <w:ind w:left="0"/>
        <w:jc w:val="both"/>
      </w:pPr>
      <w:r>
        <w:rPr>
          <w:rFonts w:ascii="Times New Roman"/>
          <w:b w:val="false"/>
          <w:i w:val="false"/>
          <w:color w:val="000000"/>
          <w:sz w:val="28"/>
        </w:rPr>
        <w:t>
      состояния помещений, внешнего состояния объекта оценки;</w:t>
      </w:r>
    </w:p>
    <w:bookmarkEnd w:id="602"/>
    <w:bookmarkStart w:name="z4867" w:id="603"/>
    <w:p>
      <w:pPr>
        <w:spacing w:after="0"/>
        <w:ind w:left="0"/>
        <w:jc w:val="both"/>
      </w:pPr>
      <w:r>
        <w:rPr>
          <w:rFonts w:ascii="Times New Roman"/>
          <w:b w:val="false"/>
          <w:i w:val="false"/>
          <w:color w:val="000000"/>
          <w:sz w:val="28"/>
        </w:rPr>
        <w:t>
      целевого назначения объекта;</w:t>
      </w:r>
    </w:p>
    <w:bookmarkEnd w:id="603"/>
    <w:bookmarkStart w:name="z4868" w:id="604"/>
    <w:p>
      <w:pPr>
        <w:spacing w:after="0"/>
        <w:ind w:left="0"/>
        <w:jc w:val="both"/>
      </w:pPr>
      <w:r>
        <w:rPr>
          <w:rFonts w:ascii="Times New Roman"/>
          <w:b w:val="false"/>
          <w:i w:val="false"/>
          <w:color w:val="000000"/>
          <w:sz w:val="28"/>
        </w:rPr>
        <w:t>
      иных технических характеристик объекта.</w:t>
      </w:r>
    </w:p>
    <w:bookmarkEnd w:id="604"/>
    <w:bookmarkStart w:name="z4869" w:id="605"/>
    <w:p>
      <w:pPr>
        <w:spacing w:after="0"/>
        <w:ind w:left="0"/>
        <w:jc w:val="both"/>
      </w:pPr>
      <w:r>
        <w:rPr>
          <w:rFonts w:ascii="Times New Roman"/>
          <w:b w:val="false"/>
          <w:i w:val="false"/>
          <w:color w:val="000000"/>
          <w:sz w:val="28"/>
        </w:rPr>
        <w:t>
      Подразделение залоговой службы по каждому отчету оценщиков готовит заключение по результатам анализа объективности (адекватности) оценки стоимости залогового обеспечения на основании внутреннего порядка.</w:t>
      </w:r>
    </w:p>
    <w:bookmarkEnd w:id="605"/>
    <w:bookmarkStart w:name="z4870" w:id="606"/>
    <w:p>
      <w:pPr>
        <w:spacing w:after="0"/>
        <w:ind w:left="0"/>
        <w:jc w:val="both"/>
      </w:pPr>
      <w:r>
        <w:rPr>
          <w:rFonts w:ascii="Times New Roman"/>
          <w:b w:val="false"/>
          <w:i w:val="false"/>
          <w:color w:val="000000"/>
          <w:sz w:val="28"/>
        </w:rPr>
        <w:t>
      Банк разрабатывает внутренний порядок анализа объективности (адекватности) оценки стоимости залогового обеспечения, определенной оценщиком, который обеспечивает, но не ограничиваясь:</w:t>
      </w:r>
    </w:p>
    <w:bookmarkEnd w:id="606"/>
    <w:bookmarkStart w:name="z4871" w:id="607"/>
    <w:p>
      <w:pPr>
        <w:spacing w:after="0"/>
        <w:ind w:left="0"/>
        <w:jc w:val="both"/>
      </w:pPr>
      <w:r>
        <w:rPr>
          <w:rFonts w:ascii="Times New Roman"/>
          <w:b w:val="false"/>
          <w:i w:val="false"/>
          <w:color w:val="000000"/>
          <w:sz w:val="28"/>
        </w:rPr>
        <w:t>
      порядок применения подходов оценки в зависимости от вида залога;</w:t>
      </w:r>
    </w:p>
    <w:bookmarkEnd w:id="607"/>
    <w:bookmarkStart w:name="z4872" w:id="608"/>
    <w:p>
      <w:pPr>
        <w:spacing w:after="0"/>
        <w:ind w:left="0"/>
        <w:jc w:val="both"/>
      </w:pPr>
      <w:r>
        <w:rPr>
          <w:rFonts w:ascii="Times New Roman"/>
          <w:b w:val="false"/>
          <w:i w:val="false"/>
          <w:color w:val="000000"/>
          <w:sz w:val="28"/>
        </w:rPr>
        <w:t>
      критерии и требования к корректности расчетов оценки;</w:t>
      </w:r>
    </w:p>
    <w:bookmarkEnd w:id="608"/>
    <w:bookmarkStart w:name="z4873" w:id="609"/>
    <w:p>
      <w:pPr>
        <w:spacing w:after="0"/>
        <w:ind w:left="0"/>
        <w:jc w:val="both"/>
      </w:pPr>
      <w:r>
        <w:rPr>
          <w:rFonts w:ascii="Times New Roman"/>
          <w:b w:val="false"/>
          <w:i w:val="false"/>
          <w:color w:val="000000"/>
          <w:sz w:val="28"/>
        </w:rPr>
        <w:t>
      требования и ограничения в части использования допущений, корректировок и экспертных суждений;</w:t>
      </w:r>
    </w:p>
    <w:bookmarkEnd w:id="609"/>
    <w:bookmarkStart w:name="z4874" w:id="610"/>
    <w:p>
      <w:pPr>
        <w:spacing w:after="0"/>
        <w:ind w:left="0"/>
        <w:jc w:val="both"/>
      </w:pPr>
      <w:r>
        <w:rPr>
          <w:rFonts w:ascii="Times New Roman"/>
          <w:b w:val="false"/>
          <w:i w:val="false"/>
          <w:color w:val="000000"/>
          <w:sz w:val="28"/>
        </w:rPr>
        <w:t>
      наличие детальных и обоснованных расчетов;</w:t>
      </w:r>
    </w:p>
    <w:bookmarkEnd w:id="610"/>
    <w:bookmarkStart w:name="z4875" w:id="611"/>
    <w:p>
      <w:pPr>
        <w:spacing w:after="0"/>
        <w:ind w:left="0"/>
        <w:jc w:val="both"/>
      </w:pPr>
      <w:r>
        <w:rPr>
          <w:rFonts w:ascii="Times New Roman"/>
          <w:b w:val="false"/>
          <w:i w:val="false"/>
          <w:color w:val="000000"/>
          <w:sz w:val="28"/>
        </w:rPr>
        <w:t>
      наличие полной информации позволяющей идентифицировать объект залога;</w:t>
      </w:r>
    </w:p>
    <w:bookmarkEnd w:id="611"/>
    <w:bookmarkStart w:name="z4876" w:id="612"/>
    <w:p>
      <w:pPr>
        <w:spacing w:after="0"/>
        <w:ind w:left="0"/>
        <w:jc w:val="both"/>
      </w:pPr>
      <w:r>
        <w:rPr>
          <w:rFonts w:ascii="Times New Roman"/>
          <w:b w:val="false"/>
          <w:i w:val="false"/>
          <w:color w:val="000000"/>
          <w:sz w:val="28"/>
        </w:rPr>
        <w:t>
      обязательное проведение осмотра и видео-, фотофиксации предмета залога;</w:t>
      </w:r>
    </w:p>
    <w:bookmarkEnd w:id="612"/>
    <w:bookmarkStart w:name="z4877" w:id="613"/>
    <w:p>
      <w:pPr>
        <w:spacing w:after="0"/>
        <w:ind w:left="0"/>
        <w:jc w:val="both"/>
      </w:pPr>
      <w:r>
        <w:rPr>
          <w:rFonts w:ascii="Times New Roman"/>
          <w:b w:val="false"/>
          <w:i w:val="false"/>
          <w:color w:val="000000"/>
          <w:sz w:val="28"/>
        </w:rPr>
        <w:t>
      наличие полного пакета правоустанавливающих документов;</w:t>
      </w:r>
    </w:p>
    <w:bookmarkEnd w:id="613"/>
    <w:bookmarkStart w:name="z4878" w:id="614"/>
    <w:p>
      <w:pPr>
        <w:spacing w:after="0"/>
        <w:ind w:left="0"/>
        <w:jc w:val="both"/>
      </w:pPr>
      <w:r>
        <w:rPr>
          <w:rFonts w:ascii="Times New Roman"/>
          <w:b w:val="false"/>
          <w:i w:val="false"/>
          <w:color w:val="000000"/>
          <w:sz w:val="28"/>
        </w:rPr>
        <w:t>
      выявление в отчетах об оценке причин и критериев, повлекших существенное (более 10 (десяти) процентов) различие в стоимостях обеспечения в соответствии с требованиями внутренних документов банка.</w:t>
      </w:r>
    </w:p>
    <w:bookmarkEnd w:id="614"/>
    <w:bookmarkStart w:name="z4879" w:id="615"/>
    <w:p>
      <w:pPr>
        <w:spacing w:after="0"/>
        <w:ind w:left="0"/>
        <w:jc w:val="both"/>
      </w:pPr>
      <w:r>
        <w:rPr>
          <w:rFonts w:ascii="Times New Roman"/>
          <w:b w:val="false"/>
          <w:i w:val="false"/>
          <w:color w:val="000000"/>
          <w:sz w:val="28"/>
        </w:rPr>
        <w:t>
      При выявлении в отчетах об оценке существенного (более 10 (десяти) процентов) различия в стоимостях обеспечения банк вносит информацию по обстоятельствам, приведшим к разнице, в статистический журнал стоимости залогового обеспечения.</w:t>
      </w:r>
    </w:p>
    <w:bookmarkEnd w:id="615"/>
    <w:bookmarkStart w:name="z4880" w:id="616"/>
    <w:p>
      <w:pPr>
        <w:spacing w:after="0"/>
        <w:ind w:left="0"/>
        <w:jc w:val="both"/>
      </w:pPr>
      <w:r>
        <w:rPr>
          <w:rFonts w:ascii="Times New Roman"/>
          <w:b w:val="false"/>
          <w:i w:val="false"/>
          <w:color w:val="000000"/>
          <w:sz w:val="28"/>
        </w:rPr>
        <w:t>
      Банк проводит анализ отчетов об оценке, информация по которым внесена в статистический журнал стоимости залогового обеспечения, для исключения возможности некорректной оценки залога.</w:t>
      </w:r>
    </w:p>
    <w:bookmarkEnd w:id="616"/>
    <w:bookmarkStart w:name="z4881" w:id="617"/>
    <w:p>
      <w:pPr>
        <w:spacing w:after="0"/>
        <w:ind w:left="0"/>
        <w:jc w:val="both"/>
      </w:pPr>
      <w:r>
        <w:rPr>
          <w:rFonts w:ascii="Times New Roman"/>
          <w:b w:val="false"/>
          <w:i w:val="false"/>
          <w:color w:val="000000"/>
          <w:sz w:val="28"/>
        </w:rPr>
        <w:t>
      В рамках принятия решения о выдаче займа банк использует стоимость залога, определенную по итогам оценки объективности (адекватности) стоимости залога, определенной оценщиком с учетом всех параметров.</w:t>
      </w:r>
    </w:p>
    <w:bookmarkEnd w:id="617"/>
    <w:bookmarkStart w:name="z4882" w:id="618"/>
    <w:p>
      <w:pPr>
        <w:spacing w:after="0"/>
        <w:ind w:left="0"/>
        <w:jc w:val="both"/>
      </w:pPr>
      <w:r>
        <w:rPr>
          <w:rFonts w:ascii="Times New Roman"/>
          <w:b w:val="false"/>
          <w:i w:val="false"/>
          <w:color w:val="000000"/>
          <w:sz w:val="28"/>
        </w:rPr>
        <w:t>
      Оценка принятых решений на предмет соответствия установленному внутреннему порядку проводится в соответствии с требованиями главы 11 Правил. В случае обнаружения отклонений от установленного внутреннего порядка, заинтересованные подразделения доводят информацию о выявленных отклонениях уполномоченному коллегиальному органу банка. В целях исключения существенных отклонений в деятельности банка уполномоченный коллегиальный орган банка устанавливает ограничения на объем (сумма займа) и (или) на количество отклонений и осуществляет контроль над соблюдением установленных ограничений.</w:t>
      </w:r>
    </w:p>
    <w:bookmarkEnd w:id="618"/>
    <w:bookmarkStart w:name="z4883" w:id="619"/>
    <w:p>
      <w:pPr>
        <w:spacing w:after="0"/>
        <w:ind w:left="0"/>
        <w:jc w:val="both"/>
      </w:pPr>
      <w:r>
        <w:rPr>
          <w:rFonts w:ascii="Times New Roman"/>
          <w:b w:val="false"/>
          <w:i w:val="false"/>
          <w:color w:val="000000"/>
          <w:sz w:val="28"/>
        </w:rPr>
        <w:t>
      Банк обеспечивает:</w:t>
      </w:r>
    </w:p>
    <w:bookmarkEnd w:id="619"/>
    <w:bookmarkStart w:name="z4884" w:id="620"/>
    <w:p>
      <w:pPr>
        <w:spacing w:after="0"/>
        <w:ind w:left="0"/>
        <w:jc w:val="both"/>
      </w:pPr>
      <w:r>
        <w:rPr>
          <w:rFonts w:ascii="Times New Roman"/>
          <w:b w:val="false"/>
          <w:i w:val="false"/>
          <w:color w:val="000000"/>
          <w:sz w:val="28"/>
        </w:rPr>
        <w:t>
      хранение во внутренних системах банка не менее 5 (пяти) лет после погашения займа и (или) внебалансового обязательства и (или) после того, как заемщик перестал являться клиентом банка данных по залоговому обеспечению на балансе банка, включая оценку его стоимости;</w:t>
      </w:r>
    </w:p>
    <w:bookmarkEnd w:id="620"/>
    <w:bookmarkStart w:name="z4885" w:id="621"/>
    <w:p>
      <w:pPr>
        <w:spacing w:after="0"/>
        <w:ind w:left="0"/>
        <w:jc w:val="both"/>
      </w:pPr>
      <w:r>
        <w:rPr>
          <w:rFonts w:ascii="Times New Roman"/>
          <w:b w:val="false"/>
          <w:i w:val="false"/>
          <w:color w:val="000000"/>
          <w:sz w:val="28"/>
        </w:rPr>
        <w:t>
      своевременное обновление данных по залоговому обеспечению в соответствии с внутренними документами банка и автоматический перенос данных в модули, отвечающие за расчет риск-метрик (PD, LGD, EAD), провизий и капитала, а также в модули, отвечающие за автоматическое формирование управленческой, финансовой и регуляторной отчетности;</w:t>
      </w:r>
    </w:p>
    <w:bookmarkEnd w:id="621"/>
    <w:bookmarkStart w:name="z4886" w:id="622"/>
    <w:p>
      <w:pPr>
        <w:spacing w:after="0"/>
        <w:ind w:left="0"/>
        <w:jc w:val="both"/>
      </w:pPr>
      <w:r>
        <w:rPr>
          <w:rFonts w:ascii="Times New Roman"/>
          <w:b w:val="false"/>
          <w:i w:val="false"/>
          <w:color w:val="000000"/>
          <w:sz w:val="28"/>
        </w:rPr>
        <w:t>
      автоматическое фиксирование и хранение данных о любых ручных корректировках данных по залоговому обеспечению, включая первичных данных до применения ручных корректировок, данных о лицах, ответственных за применение ручных корректировок.</w:t>
      </w:r>
    </w:p>
    <w:bookmarkEnd w:id="622"/>
    <w:bookmarkStart w:name="z4887" w:id="623"/>
    <w:p>
      <w:pPr>
        <w:spacing w:after="0"/>
        <w:ind w:left="0"/>
        <w:jc w:val="both"/>
      </w:pPr>
      <w:r>
        <w:rPr>
          <w:rFonts w:ascii="Times New Roman"/>
          <w:b w:val="false"/>
          <w:i w:val="false"/>
          <w:color w:val="000000"/>
          <w:sz w:val="28"/>
        </w:rPr>
        <w:t>
      Данные по залоговому обеспечению, подлежащие хранению, включают (но не ограничиваясь):</w:t>
      </w:r>
    </w:p>
    <w:bookmarkEnd w:id="623"/>
    <w:bookmarkStart w:name="z4888" w:id="624"/>
    <w:p>
      <w:pPr>
        <w:spacing w:after="0"/>
        <w:ind w:left="0"/>
        <w:jc w:val="both"/>
      </w:pPr>
      <w:r>
        <w:rPr>
          <w:rFonts w:ascii="Times New Roman"/>
          <w:b w:val="false"/>
          <w:i w:val="false"/>
          <w:color w:val="000000"/>
          <w:sz w:val="28"/>
        </w:rPr>
        <w:t>
      привязку к внутреннему уникальному идентификатору объекта оценки, бизнес-идентификационному номеру (далее – БИН) или индивидуальному идентификационному номеру (далее – ИИН) и внутренним уникальным идентификаторам (если они отличаются от БИН или ИИН) залогодателя, заемщика, созаемщиков и гарантов и четкое отображение идентификатора групп связанных заемщиков и всех БИН или ИИН связанных заемщиков;</w:t>
      </w:r>
    </w:p>
    <w:bookmarkEnd w:id="624"/>
    <w:bookmarkStart w:name="z4889" w:id="625"/>
    <w:p>
      <w:pPr>
        <w:spacing w:after="0"/>
        <w:ind w:left="0"/>
        <w:jc w:val="both"/>
      </w:pPr>
      <w:r>
        <w:rPr>
          <w:rFonts w:ascii="Times New Roman"/>
          <w:b w:val="false"/>
          <w:i w:val="false"/>
          <w:color w:val="000000"/>
          <w:sz w:val="28"/>
        </w:rPr>
        <w:t>
      тип и подтип залогового обеспечения;</w:t>
      </w:r>
    </w:p>
    <w:bookmarkEnd w:id="625"/>
    <w:bookmarkStart w:name="z4890" w:id="626"/>
    <w:p>
      <w:pPr>
        <w:spacing w:after="0"/>
        <w:ind w:left="0"/>
        <w:jc w:val="both"/>
      </w:pPr>
      <w:r>
        <w:rPr>
          <w:rFonts w:ascii="Times New Roman"/>
          <w:b w:val="false"/>
          <w:i w:val="false"/>
          <w:color w:val="000000"/>
          <w:sz w:val="28"/>
        </w:rPr>
        <w:t>
      кадастровый номер объекта оценки (если применимо);</w:t>
      </w:r>
    </w:p>
    <w:bookmarkEnd w:id="626"/>
    <w:bookmarkStart w:name="z4891" w:id="627"/>
    <w:p>
      <w:pPr>
        <w:spacing w:after="0"/>
        <w:ind w:left="0"/>
        <w:jc w:val="both"/>
      </w:pPr>
      <w:r>
        <w:rPr>
          <w:rFonts w:ascii="Times New Roman"/>
          <w:b w:val="false"/>
          <w:i w:val="false"/>
          <w:color w:val="000000"/>
          <w:sz w:val="28"/>
        </w:rPr>
        <w:t>
      местонахождение объекта оценки (страна, регион, адрес);</w:t>
      </w:r>
    </w:p>
    <w:bookmarkEnd w:id="627"/>
    <w:bookmarkStart w:name="z4892" w:id="628"/>
    <w:p>
      <w:pPr>
        <w:spacing w:after="0"/>
        <w:ind w:left="0"/>
        <w:jc w:val="both"/>
      </w:pPr>
      <w:r>
        <w:rPr>
          <w:rFonts w:ascii="Times New Roman"/>
          <w:b w:val="false"/>
          <w:i w:val="false"/>
          <w:color w:val="000000"/>
          <w:sz w:val="28"/>
        </w:rPr>
        <w:t>
      дата прекращения договора залога в системе банка;</w:t>
      </w:r>
    </w:p>
    <w:bookmarkEnd w:id="628"/>
    <w:bookmarkStart w:name="z4893" w:id="629"/>
    <w:p>
      <w:pPr>
        <w:spacing w:after="0"/>
        <w:ind w:left="0"/>
        <w:jc w:val="both"/>
      </w:pPr>
      <w:r>
        <w:rPr>
          <w:rFonts w:ascii="Times New Roman"/>
          <w:b w:val="false"/>
          <w:i w:val="false"/>
          <w:color w:val="000000"/>
          <w:sz w:val="28"/>
        </w:rPr>
        <w:t>
      рыночную стоимость до применения дисконтов к залоговому обеспечению;</w:t>
      </w:r>
    </w:p>
    <w:bookmarkEnd w:id="629"/>
    <w:bookmarkStart w:name="z4894" w:id="630"/>
    <w:p>
      <w:pPr>
        <w:spacing w:after="0"/>
        <w:ind w:left="0"/>
        <w:jc w:val="both"/>
      </w:pPr>
      <w:r>
        <w:rPr>
          <w:rFonts w:ascii="Times New Roman"/>
          <w:b w:val="false"/>
          <w:i w:val="false"/>
          <w:color w:val="000000"/>
          <w:sz w:val="28"/>
        </w:rPr>
        <w:t>
      дату проведения оценки (переоценки) залогового обеспечения;</w:t>
      </w:r>
    </w:p>
    <w:bookmarkEnd w:id="630"/>
    <w:bookmarkStart w:name="z4895" w:id="631"/>
    <w:p>
      <w:pPr>
        <w:spacing w:after="0"/>
        <w:ind w:left="0"/>
        <w:jc w:val="both"/>
      </w:pPr>
      <w:r>
        <w:rPr>
          <w:rFonts w:ascii="Times New Roman"/>
          <w:b w:val="false"/>
          <w:i w:val="false"/>
          <w:color w:val="000000"/>
          <w:sz w:val="28"/>
        </w:rPr>
        <w:t xml:space="preserve">
      примененные дисконты за период не менее 5 (пяти) лет по каждому объекту оценки, в том числе по текущим объектам залога и недвижимости на балансе банка, а также по всем реализованным банком объектам оценки. Среди дисконтов обеспечивается хранение информации о вероятности взыскания и (или) вероятности реализации, ожидаемом сроке до продажи, примененных ставке дисконтирования и индексах, ожидаемых расходах на продажу, значениях дисконта в случае неприменения коэффициентов ликвидности в соответствии с </w:t>
      </w:r>
      <w:r>
        <w:rPr>
          <w:rFonts w:ascii="Times New Roman"/>
          <w:b w:val="false"/>
          <w:i w:val="false"/>
          <w:color w:val="000000"/>
          <w:sz w:val="28"/>
        </w:rPr>
        <w:t>Постановлением № 269</w:t>
      </w:r>
      <w:r>
        <w:rPr>
          <w:rFonts w:ascii="Times New Roman"/>
          <w:b w:val="false"/>
          <w:i w:val="false"/>
          <w:color w:val="000000"/>
          <w:sz w:val="28"/>
        </w:rPr>
        <w:t>;</w:t>
      </w:r>
    </w:p>
    <w:bookmarkEnd w:id="631"/>
    <w:bookmarkStart w:name="z4896" w:id="632"/>
    <w:p>
      <w:pPr>
        <w:spacing w:after="0"/>
        <w:ind w:left="0"/>
        <w:jc w:val="both"/>
      </w:pPr>
      <w:r>
        <w:rPr>
          <w:rFonts w:ascii="Times New Roman"/>
          <w:b w:val="false"/>
          <w:i w:val="false"/>
          <w:color w:val="000000"/>
          <w:sz w:val="28"/>
        </w:rPr>
        <w:t>
      рыночную стоимость после учета всех дисконтов, в том числе в эквиваленте в национальной валюте;</w:t>
      </w:r>
    </w:p>
    <w:bookmarkEnd w:id="632"/>
    <w:bookmarkStart w:name="z4897" w:id="633"/>
    <w:p>
      <w:pPr>
        <w:spacing w:after="0"/>
        <w:ind w:left="0"/>
        <w:jc w:val="both"/>
      </w:pPr>
      <w:r>
        <w:rPr>
          <w:rFonts w:ascii="Times New Roman"/>
          <w:b w:val="false"/>
          <w:i w:val="false"/>
          <w:color w:val="000000"/>
          <w:sz w:val="28"/>
        </w:rPr>
        <w:t>
      стоимость залогового обеспечения, используемая при расчете провизий;</w:t>
      </w:r>
    </w:p>
    <w:bookmarkEnd w:id="633"/>
    <w:bookmarkStart w:name="z4898" w:id="634"/>
    <w:p>
      <w:pPr>
        <w:spacing w:after="0"/>
        <w:ind w:left="0"/>
        <w:jc w:val="both"/>
      </w:pPr>
      <w:r>
        <w:rPr>
          <w:rFonts w:ascii="Times New Roman"/>
          <w:b w:val="false"/>
          <w:i w:val="false"/>
          <w:color w:val="000000"/>
          <w:sz w:val="28"/>
        </w:rPr>
        <w:t>
      флаг обременения объекта оценки;</w:t>
      </w:r>
    </w:p>
    <w:bookmarkEnd w:id="634"/>
    <w:bookmarkStart w:name="z4899" w:id="635"/>
    <w:p>
      <w:pPr>
        <w:spacing w:after="0"/>
        <w:ind w:left="0"/>
        <w:jc w:val="both"/>
      </w:pPr>
      <w:r>
        <w:rPr>
          <w:rFonts w:ascii="Times New Roman"/>
          <w:b w:val="false"/>
          <w:i w:val="false"/>
          <w:color w:val="000000"/>
          <w:sz w:val="28"/>
        </w:rPr>
        <w:t>
      очередность обременения объекта оценки;</w:t>
      </w:r>
    </w:p>
    <w:bookmarkEnd w:id="635"/>
    <w:bookmarkStart w:name="z4900" w:id="636"/>
    <w:p>
      <w:pPr>
        <w:spacing w:after="0"/>
        <w:ind w:left="0"/>
        <w:jc w:val="both"/>
      </w:pPr>
      <w:r>
        <w:rPr>
          <w:rFonts w:ascii="Times New Roman"/>
          <w:b w:val="false"/>
          <w:i w:val="false"/>
          <w:color w:val="000000"/>
          <w:sz w:val="28"/>
        </w:rPr>
        <w:t>
      сведения о залогодателе, гаранте, поручителе, страховщике (юридическое или физическое лицо, наименование, уникальный идентификатор);</w:t>
      </w:r>
    </w:p>
    <w:bookmarkEnd w:id="636"/>
    <w:bookmarkStart w:name="z4901" w:id="637"/>
    <w:p>
      <w:pPr>
        <w:spacing w:after="0"/>
        <w:ind w:left="0"/>
        <w:jc w:val="both"/>
      </w:pPr>
      <w:r>
        <w:rPr>
          <w:rFonts w:ascii="Times New Roman"/>
          <w:b w:val="false"/>
          <w:i w:val="false"/>
          <w:color w:val="000000"/>
          <w:sz w:val="28"/>
        </w:rPr>
        <w:t>
      дату подтверждения наличия обременения объекта оценки;</w:t>
      </w:r>
    </w:p>
    <w:bookmarkEnd w:id="637"/>
    <w:bookmarkStart w:name="z4902" w:id="638"/>
    <w:p>
      <w:pPr>
        <w:spacing w:after="0"/>
        <w:ind w:left="0"/>
        <w:jc w:val="both"/>
      </w:pPr>
      <w:r>
        <w:rPr>
          <w:rFonts w:ascii="Times New Roman"/>
          <w:b w:val="false"/>
          <w:i w:val="false"/>
          <w:color w:val="000000"/>
          <w:sz w:val="28"/>
        </w:rPr>
        <w:t>
      старшинство прав требования банка по объекту оценки на уровне заемщика или займа;</w:t>
      </w:r>
    </w:p>
    <w:bookmarkEnd w:id="638"/>
    <w:bookmarkStart w:name="z4903" w:id="639"/>
    <w:p>
      <w:pPr>
        <w:spacing w:after="0"/>
        <w:ind w:left="0"/>
        <w:jc w:val="both"/>
      </w:pPr>
      <w:r>
        <w:rPr>
          <w:rFonts w:ascii="Times New Roman"/>
          <w:b w:val="false"/>
          <w:i w:val="false"/>
          <w:color w:val="000000"/>
          <w:sz w:val="28"/>
        </w:rPr>
        <w:t>
      аллоцированную стоимость обеспечения для залогов на уровне заемщика и займа (с указанием доли залогового имущества на каждого заемщика со ссылкой на их уникальные идентификаторы);</w:t>
      </w:r>
    </w:p>
    <w:bookmarkEnd w:id="639"/>
    <w:bookmarkStart w:name="z4904" w:id="640"/>
    <w:p>
      <w:pPr>
        <w:spacing w:after="0"/>
        <w:ind w:left="0"/>
        <w:jc w:val="both"/>
      </w:pPr>
      <w:r>
        <w:rPr>
          <w:rFonts w:ascii="Times New Roman"/>
          <w:b w:val="false"/>
          <w:i w:val="false"/>
          <w:color w:val="000000"/>
          <w:sz w:val="28"/>
        </w:rPr>
        <w:t>
      подход к оценке залогового обеспечения;</w:t>
      </w:r>
    </w:p>
    <w:bookmarkEnd w:id="640"/>
    <w:bookmarkStart w:name="z4905" w:id="641"/>
    <w:p>
      <w:pPr>
        <w:spacing w:after="0"/>
        <w:ind w:left="0"/>
        <w:jc w:val="both"/>
      </w:pPr>
      <w:r>
        <w:rPr>
          <w:rFonts w:ascii="Times New Roman"/>
          <w:b w:val="false"/>
          <w:i w:val="false"/>
          <w:color w:val="000000"/>
          <w:sz w:val="28"/>
        </w:rPr>
        <w:t>
      используемую единицу площади;</w:t>
      </w:r>
    </w:p>
    <w:bookmarkEnd w:id="641"/>
    <w:bookmarkStart w:name="z4906" w:id="642"/>
    <w:p>
      <w:pPr>
        <w:spacing w:after="0"/>
        <w:ind w:left="0"/>
        <w:jc w:val="both"/>
      </w:pPr>
      <w:r>
        <w:rPr>
          <w:rFonts w:ascii="Times New Roman"/>
          <w:b w:val="false"/>
          <w:i w:val="false"/>
          <w:color w:val="000000"/>
          <w:sz w:val="28"/>
        </w:rPr>
        <w:t>
      общую, используемую площадь объекта оценки (если применимо);</w:t>
      </w:r>
    </w:p>
    <w:bookmarkEnd w:id="642"/>
    <w:bookmarkStart w:name="z4907" w:id="643"/>
    <w:p>
      <w:pPr>
        <w:spacing w:after="0"/>
        <w:ind w:left="0"/>
        <w:jc w:val="both"/>
      </w:pPr>
      <w:r>
        <w:rPr>
          <w:rFonts w:ascii="Times New Roman"/>
          <w:b w:val="false"/>
          <w:i w:val="false"/>
          <w:color w:val="000000"/>
          <w:sz w:val="28"/>
        </w:rPr>
        <w:t>
      долю площади, сдаваемой в аренду на дату оценки (если применимо);</w:t>
      </w:r>
    </w:p>
    <w:bookmarkEnd w:id="643"/>
    <w:bookmarkStart w:name="z4908" w:id="644"/>
    <w:p>
      <w:pPr>
        <w:spacing w:after="0"/>
        <w:ind w:left="0"/>
        <w:jc w:val="both"/>
      </w:pPr>
      <w:r>
        <w:rPr>
          <w:rFonts w:ascii="Times New Roman"/>
          <w:b w:val="false"/>
          <w:i w:val="false"/>
          <w:color w:val="000000"/>
          <w:sz w:val="28"/>
        </w:rPr>
        <w:t>
      долю площади, потенциально доступной для сдачи в аренду (если применимо);</w:t>
      </w:r>
    </w:p>
    <w:bookmarkEnd w:id="644"/>
    <w:bookmarkStart w:name="z4909" w:id="645"/>
    <w:p>
      <w:pPr>
        <w:spacing w:after="0"/>
        <w:ind w:left="0"/>
        <w:jc w:val="both"/>
      </w:pPr>
      <w:r>
        <w:rPr>
          <w:rFonts w:ascii="Times New Roman"/>
          <w:b w:val="false"/>
          <w:i w:val="false"/>
          <w:color w:val="000000"/>
          <w:sz w:val="28"/>
        </w:rPr>
        <w:t>
      4) наличие адекватной рейтинговой модели и (или) скоринговой системы.</w:t>
      </w:r>
    </w:p>
    <w:bookmarkEnd w:id="645"/>
    <w:bookmarkStart w:name="z4910" w:id="646"/>
    <w:p>
      <w:pPr>
        <w:spacing w:after="0"/>
        <w:ind w:left="0"/>
        <w:jc w:val="both"/>
      </w:pPr>
      <w:r>
        <w:rPr>
          <w:rFonts w:ascii="Times New Roman"/>
          <w:b w:val="false"/>
          <w:i w:val="false"/>
          <w:color w:val="000000"/>
          <w:sz w:val="28"/>
        </w:rPr>
        <w:t>
      Совет директоров банка определяет ответственные подразделения за разработку рейтинговой модели и (или) скоринговой системы, их внедрение, применение и контроль их функционирования. Рейтинговая модель и (или) скоринговая система содержат описание каждого уровня кредитного риска и условия их присвоения. В процессе присвоения кредитного рейтинга заемщика и (или) скорингового балла банк учитывает финансовое состояние заемщика (заемщиков) и иную доступную информацию по заемщику.</w:t>
      </w:r>
    </w:p>
    <w:bookmarkEnd w:id="646"/>
    <w:bookmarkStart w:name="z4911" w:id="647"/>
    <w:p>
      <w:pPr>
        <w:spacing w:after="0"/>
        <w:ind w:left="0"/>
        <w:jc w:val="both"/>
      </w:pPr>
      <w:r>
        <w:rPr>
          <w:rFonts w:ascii="Times New Roman"/>
          <w:b w:val="false"/>
          <w:i w:val="false"/>
          <w:color w:val="000000"/>
          <w:sz w:val="28"/>
        </w:rPr>
        <w:t>
      При присвоении кредитного рейтинга заемщика и (или) скорингового балла банк руководствуется актуальной доступной информацией о факторах, влияющих на будущую кредитоспособность и платежеспособность заемщика.</w:t>
      </w:r>
    </w:p>
    <w:bookmarkEnd w:id="647"/>
    <w:bookmarkStart w:name="z4912" w:id="648"/>
    <w:p>
      <w:pPr>
        <w:spacing w:after="0"/>
        <w:ind w:left="0"/>
        <w:jc w:val="both"/>
      </w:pPr>
      <w:r>
        <w:rPr>
          <w:rFonts w:ascii="Times New Roman"/>
          <w:b w:val="false"/>
          <w:i w:val="false"/>
          <w:color w:val="000000"/>
          <w:sz w:val="28"/>
        </w:rPr>
        <w:t>
      Присвоенный юридическим лицам кредитный рейтинг подлежит периодическому мониторингу на предмет актуальности. Частота пересмотра увеличивается в случае наличия негативной информации, несущей риск ухудшения финансового состояния заемщика и (или) невозможности погашения обязательств перед банком и иной доступной информации;</w:t>
      </w:r>
    </w:p>
    <w:bookmarkEnd w:id="648"/>
    <w:bookmarkStart w:name="z4913" w:id="649"/>
    <w:p>
      <w:pPr>
        <w:spacing w:after="0"/>
        <w:ind w:left="0"/>
        <w:jc w:val="both"/>
      </w:pPr>
      <w:r>
        <w:rPr>
          <w:rFonts w:ascii="Times New Roman"/>
          <w:b w:val="false"/>
          <w:i w:val="false"/>
          <w:color w:val="000000"/>
          <w:sz w:val="28"/>
        </w:rPr>
        <w:t>
      5) наличие адекватной системы классификации активов по уровню кредитного риска.</w:t>
      </w:r>
    </w:p>
    <w:bookmarkEnd w:id="649"/>
    <w:bookmarkStart w:name="z4914" w:id="650"/>
    <w:p>
      <w:pPr>
        <w:spacing w:after="0"/>
        <w:ind w:left="0"/>
        <w:jc w:val="both"/>
      </w:pPr>
      <w:r>
        <w:rPr>
          <w:rFonts w:ascii="Times New Roman"/>
          <w:b w:val="false"/>
          <w:i w:val="false"/>
          <w:color w:val="000000"/>
          <w:sz w:val="28"/>
        </w:rPr>
        <w:t>
      В рамках системы классификации активов по уровню кредитного риска банк внедряет и использует комплексные процедуры и информационные системы (в случае отсутствия - программное обеспечение) для мониторинга качества кредитного портфеля. Процедуры и информационные системы включают критерии, которые идентифицируют и выявляют проблемные займы, обеспечивают надлежащий контроль.</w:t>
      </w:r>
    </w:p>
    <w:bookmarkEnd w:id="650"/>
    <w:bookmarkStart w:name="z4915" w:id="651"/>
    <w:p>
      <w:pPr>
        <w:spacing w:after="0"/>
        <w:ind w:left="0"/>
        <w:jc w:val="both"/>
      </w:pPr>
      <w:r>
        <w:rPr>
          <w:rFonts w:ascii="Times New Roman"/>
          <w:b w:val="false"/>
          <w:i w:val="false"/>
          <w:color w:val="000000"/>
          <w:sz w:val="28"/>
        </w:rPr>
        <w:t>
      Система классификации активов по уровню кредитного риска обеспечивает предоставление информации для совета директоров, комитетов при совете директоров, правления, иных подразделений банка, участвующих в процессе управления кредитным риском и позволяет оценить уровень кредитного риска банка как в целом по балансу, так и в разрезе каждого актива.</w:t>
      </w:r>
    </w:p>
    <w:bookmarkEnd w:id="651"/>
    <w:bookmarkStart w:name="z4916" w:id="652"/>
    <w:p>
      <w:pPr>
        <w:spacing w:after="0"/>
        <w:ind w:left="0"/>
        <w:jc w:val="both"/>
      </w:pPr>
      <w:r>
        <w:rPr>
          <w:rFonts w:ascii="Times New Roman"/>
          <w:b w:val="false"/>
          <w:i w:val="false"/>
          <w:color w:val="000000"/>
          <w:sz w:val="28"/>
        </w:rPr>
        <w:t>
      Система классификации активов по уровню кредитного риска основывается на детальном анализе всех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w:t>
      </w:r>
    </w:p>
    <w:bookmarkEnd w:id="652"/>
    <w:bookmarkStart w:name="z4917" w:id="653"/>
    <w:p>
      <w:pPr>
        <w:spacing w:after="0"/>
        <w:ind w:left="0"/>
        <w:jc w:val="both"/>
      </w:pPr>
      <w:r>
        <w:rPr>
          <w:rFonts w:ascii="Times New Roman"/>
          <w:b w:val="false"/>
          <w:i w:val="false"/>
          <w:color w:val="000000"/>
          <w:sz w:val="28"/>
        </w:rPr>
        <w:t>
      Детальный анализ активов включает оценку:</w:t>
      </w:r>
    </w:p>
    <w:bookmarkEnd w:id="653"/>
    <w:bookmarkStart w:name="z4918" w:id="654"/>
    <w:p>
      <w:pPr>
        <w:spacing w:after="0"/>
        <w:ind w:left="0"/>
        <w:jc w:val="both"/>
      </w:pPr>
      <w:r>
        <w:rPr>
          <w:rFonts w:ascii="Times New Roman"/>
          <w:b w:val="false"/>
          <w:i w:val="false"/>
          <w:color w:val="000000"/>
          <w:sz w:val="28"/>
        </w:rPr>
        <w:t>
      вероятности дефолта по обязательствам заемщика и (или) контрагента (PD);</w:t>
      </w:r>
    </w:p>
    <w:bookmarkEnd w:id="654"/>
    <w:bookmarkStart w:name="z4919" w:id="655"/>
    <w:p>
      <w:pPr>
        <w:spacing w:after="0"/>
        <w:ind w:left="0"/>
        <w:jc w:val="both"/>
      </w:pPr>
      <w:r>
        <w:rPr>
          <w:rFonts w:ascii="Times New Roman"/>
          <w:b w:val="false"/>
          <w:i w:val="false"/>
          <w:color w:val="000000"/>
          <w:sz w:val="28"/>
        </w:rPr>
        <w:t>
      размера убытков в случае дефолта заемщика и (или) контрагента (LGD);</w:t>
      </w:r>
    </w:p>
    <w:bookmarkEnd w:id="655"/>
    <w:bookmarkStart w:name="z4920" w:id="656"/>
    <w:p>
      <w:pPr>
        <w:spacing w:after="0"/>
        <w:ind w:left="0"/>
        <w:jc w:val="both"/>
      </w:pPr>
      <w:r>
        <w:rPr>
          <w:rFonts w:ascii="Times New Roman"/>
          <w:b w:val="false"/>
          <w:i w:val="false"/>
          <w:color w:val="000000"/>
          <w:sz w:val="28"/>
        </w:rPr>
        <w:t>
      величины обязательств, подверженных дефолту (EAD);</w:t>
      </w:r>
    </w:p>
    <w:bookmarkEnd w:id="656"/>
    <w:bookmarkStart w:name="z4921" w:id="657"/>
    <w:p>
      <w:pPr>
        <w:spacing w:after="0"/>
        <w:ind w:left="0"/>
        <w:jc w:val="both"/>
      </w:pPr>
      <w:r>
        <w:rPr>
          <w:rFonts w:ascii="Times New Roman"/>
          <w:b w:val="false"/>
          <w:i w:val="false"/>
          <w:color w:val="000000"/>
          <w:sz w:val="28"/>
        </w:rPr>
        <w:t>
      срока, в течение которого сохраняется позиция по риску;</w:t>
      </w:r>
    </w:p>
    <w:bookmarkEnd w:id="657"/>
    <w:bookmarkStart w:name="z4922" w:id="658"/>
    <w:p>
      <w:pPr>
        <w:spacing w:after="0"/>
        <w:ind w:left="0"/>
        <w:jc w:val="both"/>
      </w:pPr>
      <w:r>
        <w:rPr>
          <w:rFonts w:ascii="Times New Roman"/>
          <w:b w:val="false"/>
          <w:i w:val="false"/>
          <w:color w:val="000000"/>
          <w:sz w:val="28"/>
        </w:rPr>
        <w:t>
      стоимости залогового обеспечения и возможность его реализации;</w:t>
      </w:r>
    </w:p>
    <w:bookmarkEnd w:id="658"/>
    <w:bookmarkStart w:name="z4923" w:id="659"/>
    <w:p>
      <w:pPr>
        <w:spacing w:after="0"/>
        <w:ind w:left="0"/>
        <w:jc w:val="both"/>
      </w:pPr>
      <w:r>
        <w:rPr>
          <w:rFonts w:ascii="Times New Roman"/>
          <w:b w:val="false"/>
          <w:i w:val="false"/>
          <w:color w:val="000000"/>
          <w:sz w:val="28"/>
        </w:rPr>
        <w:t>
      бизнес-среды и экономических условий;</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двенадцатый подпункта 5)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4925" w:id="660"/>
    <w:p>
      <w:pPr>
        <w:spacing w:after="0"/>
        <w:ind w:left="0"/>
        <w:jc w:val="both"/>
      </w:pPr>
      <w:r>
        <w:rPr>
          <w:rFonts w:ascii="Times New Roman"/>
          <w:b w:val="false"/>
          <w:i w:val="false"/>
          <w:color w:val="000000"/>
          <w:sz w:val="28"/>
        </w:rPr>
        <w:t>
      Классификация активов (за исключением дебиторской задолженности по неосновной деятельности в сумме, не превышающей 2 (два) процента от собственного капитала банка), которым присущ кредитный риск, осуществляется на основе как минимум 5 (пяти) категорий и обеспечивает:</w:t>
      </w:r>
    </w:p>
    <w:bookmarkEnd w:id="660"/>
    <w:bookmarkStart w:name="z4926" w:id="661"/>
    <w:p>
      <w:pPr>
        <w:spacing w:after="0"/>
        <w:ind w:left="0"/>
        <w:jc w:val="both"/>
      </w:pPr>
      <w:r>
        <w:rPr>
          <w:rFonts w:ascii="Times New Roman"/>
          <w:b w:val="false"/>
          <w:i w:val="false"/>
          <w:color w:val="000000"/>
          <w:sz w:val="28"/>
        </w:rPr>
        <w:t>
      надежную оценку достаточности капитала в рамках ВПОДК;</w:t>
      </w:r>
    </w:p>
    <w:bookmarkEnd w:id="661"/>
    <w:bookmarkStart w:name="z4927" w:id="662"/>
    <w:p>
      <w:pPr>
        <w:spacing w:after="0"/>
        <w:ind w:left="0"/>
        <w:jc w:val="both"/>
      </w:pPr>
      <w:r>
        <w:rPr>
          <w:rFonts w:ascii="Times New Roman"/>
          <w:b w:val="false"/>
          <w:i w:val="false"/>
          <w:color w:val="000000"/>
          <w:sz w:val="28"/>
        </w:rPr>
        <w:t>
      необходимый уровень провизий на покрытие ожидаемых потерь.</w:t>
      </w:r>
    </w:p>
    <w:bookmarkEnd w:id="662"/>
    <w:bookmarkStart w:name="z4928" w:id="663"/>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более 90 (девяноста) календарных дней, классифицируются в наихудшие категории, в случае если нет веских и обоснованных оснований для классификации в более высокую категорию.</w:t>
      </w:r>
    </w:p>
    <w:bookmarkEnd w:id="663"/>
    <w:bookmarkStart w:name="z4929" w:id="664"/>
    <w:p>
      <w:pPr>
        <w:spacing w:after="0"/>
        <w:ind w:left="0"/>
        <w:jc w:val="both"/>
      </w:pPr>
      <w:r>
        <w:rPr>
          <w:rFonts w:ascii="Times New Roman"/>
          <w:b w:val="false"/>
          <w:i w:val="false"/>
          <w:color w:val="000000"/>
          <w:sz w:val="28"/>
        </w:rPr>
        <w:t>
      Активы, по которым имеется просроченная задолженность по основному долгу и (или) начисленному вознаграждению сроком менее 90 (девяноста) календарных дней, классифицируются в наихудшую категорию, если имеются иные факторы неплатежеспособности заемщика, определенные внутренними документами;</w:t>
      </w:r>
    </w:p>
    <w:bookmarkEnd w:id="664"/>
    <w:bookmarkStart w:name="z4930" w:id="665"/>
    <w:p>
      <w:pPr>
        <w:spacing w:after="0"/>
        <w:ind w:left="0"/>
        <w:jc w:val="both"/>
      </w:pPr>
      <w:r>
        <w:rPr>
          <w:rFonts w:ascii="Times New Roman"/>
          <w:b w:val="false"/>
          <w:i w:val="false"/>
          <w:color w:val="000000"/>
          <w:sz w:val="28"/>
        </w:rPr>
        <w:t>
      6) наличие политики управления проблемными активами.</w:t>
      </w:r>
    </w:p>
    <w:bookmarkEnd w:id="665"/>
    <w:bookmarkStart w:name="z4931" w:id="666"/>
    <w:p>
      <w:pPr>
        <w:spacing w:after="0"/>
        <w:ind w:left="0"/>
        <w:jc w:val="both"/>
      </w:pPr>
      <w:r>
        <w:rPr>
          <w:rFonts w:ascii="Times New Roman"/>
          <w:b w:val="false"/>
          <w:i w:val="false"/>
          <w:color w:val="000000"/>
          <w:sz w:val="28"/>
        </w:rPr>
        <w:t>
      Совет директоров банка утверждает политику управления проблемными активами, которая содержит:</w:t>
      </w:r>
    </w:p>
    <w:bookmarkEnd w:id="666"/>
    <w:bookmarkStart w:name="z4932" w:id="667"/>
    <w:p>
      <w:pPr>
        <w:spacing w:after="0"/>
        <w:ind w:left="0"/>
        <w:jc w:val="both"/>
      </w:pPr>
      <w:r>
        <w:rPr>
          <w:rFonts w:ascii="Times New Roman"/>
          <w:b w:val="false"/>
          <w:i w:val="false"/>
          <w:color w:val="000000"/>
          <w:sz w:val="28"/>
        </w:rPr>
        <w:t>
      определение проблемных активов;</w:t>
      </w:r>
    </w:p>
    <w:bookmarkEnd w:id="667"/>
    <w:bookmarkStart w:name="z4933" w:id="668"/>
    <w:p>
      <w:pPr>
        <w:spacing w:after="0"/>
        <w:ind w:left="0"/>
        <w:jc w:val="both"/>
      </w:pPr>
      <w:r>
        <w:rPr>
          <w:rFonts w:ascii="Times New Roman"/>
          <w:b w:val="false"/>
          <w:i w:val="false"/>
          <w:color w:val="000000"/>
          <w:sz w:val="28"/>
        </w:rPr>
        <w:t>
      методы управления проблемными активами (реструктуризация, продажа, списание, изъятие залогового обеспечения, банкротство и другие методы);</w:t>
      </w:r>
    </w:p>
    <w:bookmarkEnd w:id="668"/>
    <w:bookmarkStart w:name="z4934" w:id="669"/>
    <w:p>
      <w:pPr>
        <w:spacing w:after="0"/>
        <w:ind w:left="0"/>
        <w:jc w:val="both"/>
      </w:pPr>
      <w:r>
        <w:rPr>
          <w:rFonts w:ascii="Times New Roman"/>
          <w:b w:val="false"/>
          <w:i w:val="false"/>
          <w:color w:val="000000"/>
          <w:sz w:val="28"/>
        </w:rPr>
        <w:t>
      лимиты в отношении проблемных активов (в разрезе портфелей) и сроки реализации утвержденных методов управления проблемными активами для приведения в соответствие установленным лимитам при их нарушении;</w:t>
      </w:r>
    </w:p>
    <w:bookmarkEnd w:id="669"/>
    <w:bookmarkStart w:name="z4935" w:id="670"/>
    <w:p>
      <w:pPr>
        <w:spacing w:after="0"/>
        <w:ind w:left="0"/>
        <w:jc w:val="both"/>
      </w:pPr>
      <w:r>
        <w:rPr>
          <w:rFonts w:ascii="Times New Roman"/>
          <w:b w:val="false"/>
          <w:i w:val="false"/>
          <w:color w:val="000000"/>
          <w:sz w:val="28"/>
        </w:rPr>
        <w:t>
      количественные и качественные параметры раннего реагирования на риск увеличения объема проблемных активов;</w:t>
      </w:r>
    </w:p>
    <w:bookmarkEnd w:id="670"/>
    <w:bookmarkStart w:name="z4936" w:id="671"/>
    <w:p>
      <w:pPr>
        <w:spacing w:after="0"/>
        <w:ind w:left="0"/>
        <w:jc w:val="both"/>
      </w:pPr>
      <w:r>
        <w:rPr>
          <w:rFonts w:ascii="Times New Roman"/>
          <w:b w:val="false"/>
          <w:i w:val="false"/>
          <w:color w:val="000000"/>
          <w:sz w:val="28"/>
        </w:rPr>
        <w:t>
      список заинтересованных подразделений и внутренний порядок их взаимодействия при работе с проблемными активами;</w:t>
      </w:r>
    </w:p>
    <w:bookmarkEnd w:id="671"/>
    <w:bookmarkStart w:name="z4937" w:id="672"/>
    <w:p>
      <w:pPr>
        <w:spacing w:after="0"/>
        <w:ind w:left="0"/>
        <w:jc w:val="both"/>
      </w:pPr>
      <w:r>
        <w:rPr>
          <w:rFonts w:ascii="Times New Roman"/>
          <w:b w:val="false"/>
          <w:i w:val="false"/>
          <w:color w:val="000000"/>
          <w:sz w:val="28"/>
        </w:rPr>
        <w:t>
      внутренний порядок предоставления управленческой отчетности совету директоров об уровне проблемных активов;</w:t>
      </w:r>
    </w:p>
    <w:bookmarkEnd w:id="672"/>
    <w:bookmarkStart w:name="z4938" w:id="673"/>
    <w:p>
      <w:pPr>
        <w:spacing w:after="0"/>
        <w:ind w:left="0"/>
        <w:jc w:val="both"/>
      </w:pPr>
      <w:r>
        <w:rPr>
          <w:rFonts w:ascii="Times New Roman"/>
          <w:b w:val="false"/>
          <w:i w:val="false"/>
          <w:color w:val="000000"/>
          <w:sz w:val="28"/>
        </w:rPr>
        <w:t>
      процедуры оценки применяемых банком методов управления проблемными активами;</w:t>
      </w:r>
    </w:p>
    <w:bookmarkEnd w:id="673"/>
    <w:bookmarkStart w:name="z4939" w:id="674"/>
    <w:p>
      <w:pPr>
        <w:spacing w:after="0"/>
        <w:ind w:left="0"/>
        <w:jc w:val="both"/>
      </w:pPr>
      <w:r>
        <w:rPr>
          <w:rFonts w:ascii="Times New Roman"/>
          <w:b w:val="false"/>
          <w:i w:val="false"/>
          <w:color w:val="000000"/>
          <w:sz w:val="28"/>
        </w:rPr>
        <w:t>
      7) наличие надежной методики формирования провизий.</w:t>
      </w:r>
    </w:p>
    <w:bookmarkEnd w:id="674"/>
    <w:bookmarkStart w:name="z4940" w:id="675"/>
    <w:p>
      <w:pPr>
        <w:spacing w:after="0"/>
        <w:ind w:left="0"/>
        <w:jc w:val="both"/>
      </w:pPr>
      <w:r>
        <w:rPr>
          <w:rFonts w:ascii="Times New Roman"/>
          <w:b w:val="false"/>
          <w:i w:val="false"/>
          <w:color w:val="000000"/>
          <w:sz w:val="28"/>
        </w:rPr>
        <w:t>
      В целях обеспечения достаточности формируемых провизий для покрытия ожидаемых потерь банк ежегодно (либо чаще при необходимости) проводит анализ методики формирования провизий путем:</w:t>
      </w:r>
    </w:p>
    <w:bookmarkEnd w:id="675"/>
    <w:bookmarkStart w:name="z4941" w:id="676"/>
    <w:p>
      <w:pPr>
        <w:spacing w:after="0"/>
        <w:ind w:left="0"/>
        <w:jc w:val="both"/>
      </w:pPr>
      <w:r>
        <w:rPr>
          <w:rFonts w:ascii="Times New Roman"/>
          <w:b w:val="false"/>
          <w:i w:val="false"/>
          <w:color w:val="000000"/>
          <w:sz w:val="28"/>
        </w:rPr>
        <w:t>
      определения соответствия провизий, рассчитанных согласно требованиям методики формирования провизий, фактическим суммам убытков;</w:t>
      </w:r>
    </w:p>
    <w:bookmarkEnd w:id="676"/>
    <w:bookmarkStart w:name="z4942" w:id="677"/>
    <w:p>
      <w:pPr>
        <w:spacing w:after="0"/>
        <w:ind w:left="0"/>
        <w:jc w:val="both"/>
      </w:pPr>
      <w:r>
        <w:rPr>
          <w:rFonts w:ascii="Times New Roman"/>
          <w:b w:val="false"/>
          <w:i w:val="false"/>
          <w:color w:val="000000"/>
          <w:sz w:val="28"/>
        </w:rPr>
        <w:t>
      анализа текущих рыночных условий, изменений макроэкономических показателей;</w:t>
      </w:r>
    </w:p>
    <w:bookmarkEnd w:id="677"/>
    <w:bookmarkStart w:name="z4943" w:id="678"/>
    <w:p>
      <w:pPr>
        <w:spacing w:after="0"/>
        <w:ind w:left="0"/>
        <w:jc w:val="both"/>
      </w:pPr>
      <w:r>
        <w:rPr>
          <w:rFonts w:ascii="Times New Roman"/>
          <w:b w:val="false"/>
          <w:i w:val="false"/>
          <w:color w:val="000000"/>
          <w:sz w:val="28"/>
        </w:rPr>
        <w:t>
      валидации методики формирования провизий.</w:t>
      </w:r>
    </w:p>
    <w:bookmarkEnd w:id="678"/>
    <w:bookmarkStart w:name="z4944" w:id="679"/>
    <w:p>
      <w:pPr>
        <w:spacing w:after="0"/>
        <w:ind w:left="0"/>
        <w:jc w:val="both"/>
      </w:pPr>
      <w:r>
        <w:rPr>
          <w:rFonts w:ascii="Times New Roman"/>
          <w:b w:val="false"/>
          <w:i w:val="false"/>
          <w:color w:val="000000"/>
          <w:sz w:val="28"/>
        </w:rPr>
        <w:t>
      При формировании провизий по коллективным займам банк осуществляет анализ исторических данных, охватывающих необходимый период времени, и наиболее корректно отражающие кредитные потери банка. При этом исторические данные дополняются анализом текущей рыночной и экономической ситуации.</w:t>
      </w:r>
    </w:p>
    <w:bookmarkEnd w:id="679"/>
    <w:bookmarkStart w:name="z4945" w:id="680"/>
    <w:p>
      <w:pPr>
        <w:spacing w:after="0"/>
        <w:ind w:left="0"/>
        <w:jc w:val="both"/>
      </w:pPr>
      <w:r>
        <w:rPr>
          <w:rFonts w:ascii="Times New Roman"/>
          <w:b w:val="false"/>
          <w:i w:val="false"/>
          <w:color w:val="000000"/>
          <w:sz w:val="28"/>
        </w:rPr>
        <w:t>
      В случае если методика формирования провизий указывает на отсутствие признаков повышения кредитного риска по займам, провизии по которым формируются на индивидуальной основе, такие займы подлежат оценке уровня кредитного риска на коллективной основе.</w:t>
      </w:r>
    </w:p>
    <w:bookmarkEnd w:id="680"/>
    <w:bookmarkStart w:name="z4946" w:id="681"/>
    <w:p>
      <w:pPr>
        <w:spacing w:after="0"/>
        <w:ind w:left="0"/>
        <w:jc w:val="both"/>
      </w:pPr>
      <w:r>
        <w:rPr>
          <w:rFonts w:ascii="Times New Roman"/>
          <w:b w:val="false"/>
          <w:i w:val="false"/>
          <w:color w:val="000000"/>
          <w:sz w:val="28"/>
        </w:rPr>
        <w:t>
      Банк обеспечивает разработку (обновление) общей методологии моделей оценки вероятности дефолта, описывающей детальные требования, которым соответствует каждая модель оценки вероятности дефолта, включая требования к учету влияния прогнозной макроэкономической информации.</w:t>
      </w:r>
    </w:p>
    <w:bookmarkEnd w:id="681"/>
    <w:bookmarkStart w:name="z4947" w:id="682"/>
    <w:p>
      <w:pPr>
        <w:spacing w:after="0"/>
        <w:ind w:left="0"/>
        <w:jc w:val="both"/>
      </w:pPr>
      <w:r>
        <w:rPr>
          <w:rFonts w:ascii="Times New Roman"/>
          <w:b w:val="false"/>
          <w:i w:val="false"/>
          <w:color w:val="000000"/>
          <w:sz w:val="28"/>
        </w:rPr>
        <w:t>
      Методология моделей оценки вероятности дефолта содержит, но не ограничиваясь, следующие требования к:</w:t>
      </w:r>
    </w:p>
    <w:bookmarkEnd w:id="682"/>
    <w:bookmarkStart w:name="z4948" w:id="683"/>
    <w:p>
      <w:pPr>
        <w:spacing w:after="0"/>
        <w:ind w:left="0"/>
        <w:jc w:val="both"/>
      </w:pPr>
      <w:r>
        <w:rPr>
          <w:rFonts w:ascii="Times New Roman"/>
          <w:b w:val="false"/>
          <w:i w:val="false"/>
          <w:color w:val="000000"/>
          <w:sz w:val="28"/>
        </w:rPr>
        <w:t>
      определению кредитного обесценения;</w:t>
      </w:r>
    </w:p>
    <w:bookmarkEnd w:id="683"/>
    <w:bookmarkStart w:name="z4949" w:id="684"/>
    <w:p>
      <w:pPr>
        <w:spacing w:after="0"/>
        <w:ind w:left="0"/>
        <w:jc w:val="both"/>
      </w:pPr>
      <w:r>
        <w:rPr>
          <w:rFonts w:ascii="Times New Roman"/>
          <w:b w:val="false"/>
          <w:i w:val="false"/>
          <w:color w:val="000000"/>
          <w:sz w:val="28"/>
        </w:rPr>
        <w:t>
      качеству, глубине и объему используемых данных;</w:t>
      </w:r>
    </w:p>
    <w:bookmarkEnd w:id="684"/>
    <w:bookmarkStart w:name="z4950" w:id="685"/>
    <w:p>
      <w:pPr>
        <w:spacing w:after="0"/>
        <w:ind w:left="0"/>
        <w:jc w:val="both"/>
      </w:pPr>
      <w:r>
        <w:rPr>
          <w:rFonts w:ascii="Times New Roman"/>
          <w:b w:val="false"/>
          <w:i w:val="false"/>
          <w:color w:val="000000"/>
          <w:sz w:val="28"/>
        </w:rPr>
        <w:t>
      методологии формирования выборок для разработки и тестирования моделей;</w:t>
      </w:r>
    </w:p>
    <w:bookmarkEnd w:id="685"/>
    <w:bookmarkStart w:name="z4951" w:id="686"/>
    <w:p>
      <w:pPr>
        <w:spacing w:after="0"/>
        <w:ind w:left="0"/>
        <w:jc w:val="both"/>
      </w:pPr>
      <w:r>
        <w:rPr>
          <w:rFonts w:ascii="Times New Roman"/>
          <w:b w:val="false"/>
          <w:i w:val="false"/>
          <w:color w:val="000000"/>
          <w:sz w:val="28"/>
        </w:rPr>
        <w:t>
      наличию отдельных блоков модели (в том числе требование по учету финансовых, качественных факторов, возможности государственной или поддержки на уровне группы) и их максимальному весу в определении финального PD;</w:t>
      </w:r>
    </w:p>
    <w:bookmarkEnd w:id="686"/>
    <w:bookmarkStart w:name="z4952" w:id="687"/>
    <w:p>
      <w:pPr>
        <w:spacing w:after="0"/>
        <w:ind w:left="0"/>
        <w:jc w:val="both"/>
      </w:pPr>
      <w:r>
        <w:rPr>
          <w:rFonts w:ascii="Times New Roman"/>
          <w:b w:val="false"/>
          <w:i w:val="false"/>
          <w:color w:val="000000"/>
          <w:sz w:val="28"/>
        </w:rPr>
        <w:t>
      методологии калибровки модели на основе наблюдаемых уровней кредитного обесценения (калибровки модели на основании фактической статистики уровней кредитного обесценения);</w:t>
      </w:r>
    </w:p>
    <w:bookmarkEnd w:id="687"/>
    <w:bookmarkStart w:name="z4953" w:id="688"/>
    <w:p>
      <w:pPr>
        <w:spacing w:after="0"/>
        <w:ind w:left="0"/>
        <w:jc w:val="both"/>
      </w:pPr>
      <w:r>
        <w:rPr>
          <w:rFonts w:ascii="Times New Roman"/>
          <w:b w:val="false"/>
          <w:i w:val="false"/>
          <w:color w:val="000000"/>
          <w:sz w:val="28"/>
        </w:rPr>
        <w:t>
      разработке и учету макро-сценариев, методологии расчета и применения матриц миграций;</w:t>
      </w:r>
    </w:p>
    <w:bookmarkEnd w:id="688"/>
    <w:bookmarkStart w:name="z4954" w:id="689"/>
    <w:p>
      <w:pPr>
        <w:spacing w:after="0"/>
        <w:ind w:left="0"/>
        <w:jc w:val="both"/>
      </w:pPr>
      <w:r>
        <w:rPr>
          <w:rFonts w:ascii="Times New Roman"/>
          <w:b w:val="false"/>
          <w:i w:val="false"/>
          <w:color w:val="000000"/>
          <w:sz w:val="28"/>
        </w:rPr>
        <w:t>
      разработке валидной кредитной шкалы, совместимой с кредитными шкалами ведущих рейтинговых агентств;</w:t>
      </w:r>
    </w:p>
    <w:bookmarkEnd w:id="689"/>
    <w:bookmarkStart w:name="z4955" w:id="690"/>
    <w:p>
      <w:pPr>
        <w:spacing w:after="0"/>
        <w:ind w:left="0"/>
        <w:jc w:val="both"/>
      </w:pPr>
      <w:r>
        <w:rPr>
          <w:rFonts w:ascii="Times New Roman"/>
          <w:b w:val="false"/>
          <w:i w:val="false"/>
          <w:color w:val="000000"/>
          <w:sz w:val="28"/>
        </w:rPr>
        <w:t>
      расчету разных типов PD (при первоначальном признании, двенадцатимесячный, на весь срок жизни (lifetime PD), в момент времени (PIT PD) и циклический (TTC PD);</w:t>
      </w:r>
    </w:p>
    <w:bookmarkEnd w:id="690"/>
    <w:bookmarkStart w:name="z4956" w:id="691"/>
    <w:p>
      <w:pPr>
        <w:spacing w:after="0"/>
        <w:ind w:left="0"/>
        <w:jc w:val="both"/>
      </w:pPr>
      <w:r>
        <w:rPr>
          <w:rFonts w:ascii="Times New Roman"/>
          <w:b w:val="false"/>
          <w:i w:val="false"/>
          <w:color w:val="000000"/>
          <w:sz w:val="28"/>
        </w:rPr>
        <w:t>
      расчету модели PD по финансовым гарантиям;</w:t>
      </w:r>
    </w:p>
    <w:bookmarkEnd w:id="691"/>
    <w:bookmarkStart w:name="z4957" w:id="692"/>
    <w:p>
      <w:pPr>
        <w:spacing w:after="0"/>
        <w:ind w:left="0"/>
        <w:jc w:val="both"/>
      </w:pPr>
      <w:r>
        <w:rPr>
          <w:rFonts w:ascii="Times New Roman"/>
          <w:b w:val="false"/>
          <w:i w:val="false"/>
          <w:color w:val="000000"/>
          <w:sz w:val="28"/>
        </w:rPr>
        <w:t>
      оценке годового PD путем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692"/>
    <w:bookmarkStart w:name="z4958" w:id="693"/>
    <w:p>
      <w:pPr>
        <w:spacing w:after="0"/>
        <w:ind w:left="0"/>
        <w:jc w:val="both"/>
      </w:pPr>
      <w:r>
        <w:rPr>
          <w:rFonts w:ascii="Times New Roman"/>
          <w:b w:val="false"/>
          <w:i w:val="false"/>
          <w:color w:val="000000"/>
          <w:sz w:val="28"/>
        </w:rPr>
        <w:t>
      В рамках разработки модели требуется:</w:t>
      </w:r>
    </w:p>
    <w:bookmarkEnd w:id="693"/>
    <w:bookmarkStart w:name="z4959" w:id="694"/>
    <w:p>
      <w:pPr>
        <w:spacing w:after="0"/>
        <w:ind w:left="0"/>
        <w:jc w:val="both"/>
      </w:pPr>
      <w:r>
        <w:rPr>
          <w:rFonts w:ascii="Times New Roman"/>
          <w:b w:val="false"/>
          <w:i w:val="false"/>
          <w:color w:val="000000"/>
          <w:sz w:val="28"/>
        </w:rPr>
        <w:t>
      при применении скоринговой модели расчет скорингового балла по каждому из заемщиков выборки для разработки;</w:t>
      </w:r>
    </w:p>
    <w:bookmarkEnd w:id="694"/>
    <w:bookmarkStart w:name="z4960" w:id="695"/>
    <w:p>
      <w:pPr>
        <w:spacing w:after="0"/>
        <w:ind w:left="0"/>
        <w:jc w:val="both"/>
      </w:pPr>
      <w:r>
        <w:rPr>
          <w:rFonts w:ascii="Times New Roman"/>
          <w:b w:val="false"/>
          <w:i w:val="false"/>
          <w:color w:val="000000"/>
          <w:sz w:val="28"/>
        </w:rPr>
        <w:t>
      при применении скоринговой модели калибровка модели, то есть перевод скорингового балла в значение PD с использованием моделей наблюдаемого исторического уровня кредитного обесценения по портфелю;</w:t>
      </w:r>
    </w:p>
    <w:bookmarkEnd w:id="695"/>
    <w:bookmarkStart w:name="z4961" w:id="696"/>
    <w:p>
      <w:pPr>
        <w:spacing w:after="0"/>
        <w:ind w:left="0"/>
        <w:jc w:val="both"/>
      </w:pPr>
      <w:r>
        <w:rPr>
          <w:rFonts w:ascii="Times New Roman"/>
          <w:b w:val="false"/>
          <w:i w:val="false"/>
          <w:color w:val="000000"/>
          <w:sz w:val="28"/>
        </w:rPr>
        <w:t>
      разработка модели учета макроэкономической ситуации и перевода TTC PD в PIT PD;</w:t>
      </w:r>
    </w:p>
    <w:bookmarkEnd w:id="696"/>
    <w:bookmarkStart w:name="z4962" w:id="697"/>
    <w:p>
      <w:pPr>
        <w:spacing w:after="0"/>
        <w:ind w:left="0"/>
        <w:jc w:val="both"/>
      </w:pPr>
      <w:r>
        <w:rPr>
          <w:rFonts w:ascii="Times New Roman"/>
          <w:b w:val="false"/>
          <w:i w:val="false"/>
          <w:color w:val="000000"/>
          <w:sz w:val="28"/>
        </w:rPr>
        <w:t>
      оценивать годовой PD путем либо использования годовых данных по наблюдаемому уровню дефолтов, либо альтернативных подходов, основанных на достоверном статистическом анализе;</w:t>
      </w:r>
    </w:p>
    <w:bookmarkEnd w:id="697"/>
    <w:bookmarkStart w:name="z4963" w:id="698"/>
    <w:p>
      <w:pPr>
        <w:spacing w:after="0"/>
        <w:ind w:left="0"/>
        <w:jc w:val="both"/>
      </w:pPr>
      <w:r>
        <w:rPr>
          <w:rFonts w:ascii="Times New Roman"/>
          <w:b w:val="false"/>
          <w:i w:val="false"/>
          <w:color w:val="000000"/>
          <w:sz w:val="28"/>
        </w:rPr>
        <w:t>
      предусмотреть выбор актуального объема исторических данных по наблюдаемому уровню дефолтов при разработке модели и калибровку PIT значений на основе ожидаемых макропоказателей;</w:t>
      </w:r>
    </w:p>
    <w:bookmarkEnd w:id="698"/>
    <w:bookmarkStart w:name="z4964" w:id="699"/>
    <w:p>
      <w:pPr>
        <w:spacing w:after="0"/>
        <w:ind w:left="0"/>
        <w:jc w:val="both"/>
      </w:pPr>
      <w:r>
        <w:rPr>
          <w:rFonts w:ascii="Times New Roman"/>
          <w:b w:val="false"/>
          <w:i w:val="false"/>
          <w:color w:val="000000"/>
          <w:sz w:val="28"/>
        </w:rPr>
        <w:t>
      установление минимальной границы PD для резидентов Республики Казахстан, соответствующей PD Республики Казахстан, за исключением статистических обоснованных случаев.</w:t>
      </w:r>
    </w:p>
    <w:bookmarkEnd w:id="699"/>
    <w:bookmarkStart w:name="z4965" w:id="700"/>
    <w:p>
      <w:pPr>
        <w:spacing w:after="0"/>
        <w:ind w:left="0"/>
        <w:jc w:val="both"/>
      </w:pPr>
      <w:r>
        <w:rPr>
          <w:rFonts w:ascii="Times New Roman"/>
          <w:b w:val="false"/>
          <w:i w:val="false"/>
          <w:color w:val="000000"/>
          <w:sz w:val="28"/>
        </w:rPr>
        <w:t>
      Банк обеспечивает автоматический расчет во внутренних системах банка всех риск-метрик (PD, LGD, EAD), провизий, а также определение событий значительного увеличения кредитного риска, событий, являющихся объективными подтверждениями обесценения по МСФО, категорий обесценения.</w:t>
      </w:r>
    </w:p>
    <w:bookmarkEnd w:id="700"/>
    <w:bookmarkStart w:name="z4966" w:id="701"/>
    <w:p>
      <w:pPr>
        <w:spacing w:after="0"/>
        <w:ind w:left="0"/>
        <w:jc w:val="both"/>
      </w:pPr>
      <w:r>
        <w:rPr>
          <w:rFonts w:ascii="Times New Roman"/>
          <w:b w:val="false"/>
          <w:i w:val="false"/>
          <w:color w:val="000000"/>
          <w:sz w:val="28"/>
        </w:rPr>
        <w:t>
      Банк обеспечивает хранение в системах не менее 5 (пяти) лет после погашения займа (или) внебалансового обязательства следующих данных (но не ограничиваясь):</w:t>
      </w:r>
    </w:p>
    <w:bookmarkEnd w:id="701"/>
    <w:bookmarkStart w:name="z4967" w:id="702"/>
    <w:p>
      <w:pPr>
        <w:spacing w:after="0"/>
        <w:ind w:left="0"/>
        <w:jc w:val="both"/>
      </w:pPr>
      <w:r>
        <w:rPr>
          <w:rFonts w:ascii="Times New Roman"/>
          <w:b w:val="false"/>
          <w:i w:val="false"/>
          <w:color w:val="000000"/>
          <w:sz w:val="28"/>
        </w:rPr>
        <w:t>
      результаты прохождения или не прохождения SPPI теста;</w:t>
      </w:r>
    </w:p>
    <w:bookmarkEnd w:id="702"/>
    <w:bookmarkStart w:name="z4968" w:id="703"/>
    <w:p>
      <w:pPr>
        <w:spacing w:after="0"/>
        <w:ind w:left="0"/>
        <w:jc w:val="both"/>
      </w:pPr>
      <w:r>
        <w:rPr>
          <w:rFonts w:ascii="Times New Roman"/>
          <w:b w:val="false"/>
          <w:i w:val="false"/>
          <w:color w:val="000000"/>
          <w:sz w:val="28"/>
        </w:rPr>
        <w:t>
      классификация финансового инструмента в соответствии с МСФО 9;</w:t>
      </w:r>
    </w:p>
    <w:bookmarkEnd w:id="703"/>
    <w:bookmarkStart w:name="z4969" w:id="704"/>
    <w:p>
      <w:pPr>
        <w:spacing w:after="0"/>
        <w:ind w:left="0"/>
        <w:jc w:val="both"/>
      </w:pPr>
      <w:r>
        <w:rPr>
          <w:rFonts w:ascii="Times New Roman"/>
          <w:b w:val="false"/>
          <w:i w:val="false"/>
          <w:color w:val="000000"/>
          <w:sz w:val="28"/>
        </w:rPr>
        <w:t>
      события, являющиеся объективными подтверждениями обесценения (отдельное поле данных для каждого события по каждому заемщику и (или) обязательству);</w:t>
      </w:r>
    </w:p>
    <w:bookmarkEnd w:id="704"/>
    <w:bookmarkStart w:name="z4970" w:id="705"/>
    <w:p>
      <w:pPr>
        <w:spacing w:after="0"/>
        <w:ind w:left="0"/>
        <w:jc w:val="both"/>
      </w:pPr>
      <w:r>
        <w:rPr>
          <w:rFonts w:ascii="Times New Roman"/>
          <w:b w:val="false"/>
          <w:i w:val="false"/>
          <w:color w:val="000000"/>
          <w:sz w:val="28"/>
        </w:rPr>
        <w:t>
      стадия обесценения заемщика;</w:t>
      </w:r>
    </w:p>
    <w:bookmarkEnd w:id="705"/>
    <w:bookmarkStart w:name="z4971" w:id="706"/>
    <w:p>
      <w:pPr>
        <w:spacing w:after="0"/>
        <w:ind w:left="0"/>
        <w:jc w:val="both"/>
      </w:pPr>
      <w:r>
        <w:rPr>
          <w:rFonts w:ascii="Times New Roman"/>
          <w:b w:val="false"/>
          <w:i w:val="false"/>
          <w:color w:val="000000"/>
          <w:sz w:val="28"/>
        </w:rPr>
        <w:t>
      вероятности сценариев по методам "going-concern" и "gone-concern" для индивидуально-оцениваемых заемщиков;</w:t>
      </w:r>
    </w:p>
    <w:bookmarkEnd w:id="706"/>
    <w:bookmarkStart w:name="z4972" w:id="707"/>
    <w:p>
      <w:pPr>
        <w:spacing w:after="0"/>
        <w:ind w:left="0"/>
        <w:jc w:val="both"/>
      </w:pPr>
      <w:r>
        <w:rPr>
          <w:rFonts w:ascii="Times New Roman"/>
          <w:b w:val="false"/>
          <w:i w:val="false"/>
          <w:color w:val="000000"/>
          <w:sz w:val="28"/>
        </w:rPr>
        <w:t>
      эффективная процентная ставка (первоначальная и актуальная процентные ставки);</w:t>
      </w:r>
    </w:p>
    <w:bookmarkEnd w:id="707"/>
    <w:bookmarkStart w:name="z4973" w:id="708"/>
    <w:p>
      <w:pPr>
        <w:spacing w:after="0"/>
        <w:ind w:left="0"/>
        <w:jc w:val="both"/>
      </w:pPr>
      <w:r>
        <w:rPr>
          <w:rFonts w:ascii="Times New Roman"/>
          <w:b w:val="false"/>
          <w:i w:val="false"/>
          <w:color w:val="000000"/>
          <w:sz w:val="28"/>
        </w:rPr>
        <w:t>
      уровни дефолтов (по количеству заемщиков, обязательств и по сумме обязательств) в абсолютном и процентном выражениях;</w:t>
      </w:r>
    </w:p>
    <w:bookmarkEnd w:id="708"/>
    <w:bookmarkStart w:name="z4974" w:id="709"/>
    <w:p>
      <w:pPr>
        <w:spacing w:after="0"/>
        <w:ind w:left="0"/>
        <w:jc w:val="both"/>
      </w:pPr>
      <w:r>
        <w:rPr>
          <w:rFonts w:ascii="Times New Roman"/>
          <w:b w:val="false"/>
          <w:i w:val="false"/>
          <w:color w:val="000000"/>
          <w:sz w:val="28"/>
        </w:rPr>
        <w:t>
      уровни возвратов (по сумме обязательств - отдельно с учетом выздоровлений и без учета выздоровлений) в абсолютном и процентном выражениях;</w:t>
      </w:r>
    </w:p>
    <w:bookmarkEnd w:id="709"/>
    <w:bookmarkStart w:name="z4975" w:id="710"/>
    <w:p>
      <w:pPr>
        <w:spacing w:after="0"/>
        <w:ind w:left="0"/>
        <w:jc w:val="both"/>
      </w:pPr>
      <w:r>
        <w:rPr>
          <w:rFonts w:ascii="Times New Roman"/>
          <w:b w:val="false"/>
          <w:i w:val="false"/>
          <w:color w:val="000000"/>
          <w:sz w:val="28"/>
        </w:rPr>
        <w:t>
      уровни реструктуризаций (по количеству заемщиков, обязательств и по сумме обязательств - отдельно по реструктуризациям и отдельно по вынужденным реструктуризациям) в абсолютном и процентном выражениях;</w:t>
      </w:r>
    </w:p>
    <w:bookmarkEnd w:id="710"/>
    <w:bookmarkStart w:name="z4976" w:id="711"/>
    <w:p>
      <w:pPr>
        <w:spacing w:after="0"/>
        <w:ind w:left="0"/>
        <w:jc w:val="both"/>
      </w:pPr>
      <w:r>
        <w:rPr>
          <w:rFonts w:ascii="Times New Roman"/>
          <w:b w:val="false"/>
          <w:i w:val="false"/>
          <w:color w:val="000000"/>
          <w:sz w:val="28"/>
        </w:rPr>
        <w:t>
      уровни выздоровлений (по количеству заемщиков, обязательств и по сумме обязательств) в абсолютном и процентном выражениях;</w:t>
      </w:r>
    </w:p>
    <w:bookmarkEnd w:id="711"/>
    <w:bookmarkStart w:name="z4977" w:id="712"/>
    <w:p>
      <w:pPr>
        <w:spacing w:after="0"/>
        <w:ind w:left="0"/>
        <w:jc w:val="both"/>
      </w:pPr>
      <w:r>
        <w:rPr>
          <w:rFonts w:ascii="Times New Roman"/>
          <w:b w:val="false"/>
          <w:i w:val="false"/>
          <w:color w:val="000000"/>
          <w:sz w:val="28"/>
        </w:rPr>
        <w:t>
      уровни списаний (по сумме обязательств - отдельно по частичным и отдельно по полным списаниям) в абсолютном и процентном выражениях;</w:t>
      </w:r>
    </w:p>
    <w:bookmarkEnd w:id="712"/>
    <w:bookmarkStart w:name="z4978" w:id="713"/>
    <w:p>
      <w:pPr>
        <w:spacing w:after="0"/>
        <w:ind w:left="0"/>
        <w:jc w:val="both"/>
      </w:pPr>
      <w:r>
        <w:rPr>
          <w:rFonts w:ascii="Times New Roman"/>
          <w:b w:val="false"/>
          <w:i w:val="false"/>
          <w:color w:val="000000"/>
          <w:sz w:val="28"/>
        </w:rPr>
        <w:t>
      значения PD (для каждого заемщика и (или) обязательства с момента выдачи и в течение всего срока действия займа и (или) внебалансового обязательства);</w:t>
      </w:r>
    </w:p>
    <w:bookmarkEnd w:id="713"/>
    <w:bookmarkStart w:name="z4979" w:id="714"/>
    <w:p>
      <w:pPr>
        <w:spacing w:after="0"/>
        <w:ind w:left="0"/>
        <w:jc w:val="both"/>
      </w:pPr>
      <w:r>
        <w:rPr>
          <w:rFonts w:ascii="Times New Roman"/>
          <w:b w:val="false"/>
          <w:i w:val="false"/>
          <w:color w:val="000000"/>
          <w:sz w:val="28"/>
        </w:rPr>
        <w:t>
      значения двенадцатимесячного PD и lifetime PD на момент признания и на каждый месяц в течение срока займа и (или) внебалансового обязательства;</w:t>
      </w:r>
    </w:p>
    <w:bookmarkEnd w:id="714"/>
    <w:bookmarkStart w:name="z4980" w:id="715"/>
    <w:p>
      <w:pPr>
        <w:spacing w:after="0"/>
        <w:ind w:left="0"/>
        <w:jc w:val="both"/>
      </w:pPr>
      <w:r>
        <w:rPr>
          <w:rFonts w:ascii="Times New Roman"/>
          <w:b w:val="false"/>
          <w:i w:val="false"/>
          <w:color w:val="000000"/>
          <w:sz w:val="28"/>
        </w:rPr>
        <w:t>
      значения LGD (включая значение LGD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15"/>
    <w:bookmarkStart w:name="z4981" w:id="716"/>
    <w:p>
      <w:pPr>
        <w:spacing w:after="0"/>
        <w:ind w:left="0"/>
        <w:jc w:val="both"/>
      </w:pPr>
      <w:r>
        <w:rPr>
          <w:rFonts w:ascii="Times New Roman"/>
          <w:b w:val="false"/>
          <w:i w:val="false"/>
          <w:color w:val="000000"/>
          <w:sz w:val="28"/>
        </w:rPr>
        <w:t>
      значения EAD (включая значение EAD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16"/>
    <w:bookmarkStart w:name="z4982" w:id="717"/>
    <w:p>
      <w:pPr>
        <w:spacing w:after="0"/>
        <w:ind w:left="0"/>
        <w:jc w:val="both"/>
      </w:pPr>
      <w:r>
        <w:rPr>
          <w:rFonts w:ascii="Times New Roman"/>
          <w:b w:val="false"/>
          <w:i w:val="false"/>
          <w:color w:val="000000"/>
          <w:sz w:val="28"/>
        </w:rPr>
        <w:t>
      кредитные убытки (включая значения ожидаемых кредитных убытков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17"/>
    <w:bookmarkStart w:name="z4983" w:id="718"/>
    <w:p>
      <w:pPr>
        <w:spacing w:after="0"/>
        <w:ind w:left="0"/>
        <w:jc w:val="both"/>
      </w:pPr>
      <w:r>
        <w:rPr>
          <w:rFonts w:ascii="Times New Roman"/>
          <w:b w:val="false"/>
          <w:i w:val="false"/>
          <w:color w:val="000000"/>
          <w:sz w:val="28"/>
        </w:rPr>
        <w:t>
      значения коэффициентов риск-взвешивания (RWA) (включая значения RWA для каждого заемщика и (или) обязательства) с момента выдачи займа и (или) внебалансового обязательства (но не ранее даты внедрения МСФО 9) и на каждый месяц в течение срока действия займа и (или) внебалансового обязательства;</w:t>
      </w:r>
    </w:p>
    <w:bookmarkEnd w:id="718"/>
    <w:bookmarkStart w:name="z4984" w:id="719"/>
    <w:p>
      <w:pPr>
        <w:spacing w:after="0"/>
        <w:ind w:left="0"/>
        <w:jc w:val="both"/>
      </w:pPr>
      <w:r>
        <w:rPr>
          <w:rFonts w:ascii="Times New Roman"/>
          <w:b w:val="false"/>
          <w:i w:val="false"/>
          <w:color w:val="000000"/>
          <w:sz w:val="28"/>
        </w:rPr>
        <w:t>
      коэффициенты кредитной конверсии;</w:t>
      </w:r>
    </w:p>
    <w:bookmarkEnd w:id="719"/>
    <w:bookmarkStart w:name="z4985" w:id="720"/>
    <w:p>
      <w:pPr>
        <w:spacing w:after="0"/>
        <w:ind w:left="0"/>
        <w:jc w:val="both"/>
      </w:pPr>
      <w:r>
        <w:rPr>
          <w:rFonts w:ascii="Times New Roman"/>
          <w:b w:val="false"/>
          <w:i w:val="false"/>
          <w:color w:val="000000"/>
          <w:sz w:val="28"/>
        </w:rPr>
        <w:t>
      суммы балансовых и внебалансовых обязательств заемщика (за последние 5 (пять) лет);</w:t>
      </w:r>
    </w:p>
    <w:bookmarkEnd w:id="720"/>
    <w:bookmarkStart w:name="z4986" w:id="721"/>
    <w:p>
      <w:pPr>
        <w:spacing w:after="0"/>
        <w:ind w:left="0"/>
        <w:jc w:val="both"/>
      </w:pPr>
      <w:r>
        <w:rPr>
          <w:rFonts w:ascii="Times New Roman"/>
          <w:b w:val="false"/>
          <w:i w:val="false"/>
          <w:color w:val="000000"/>
          <w:sz w:val="28"/>
        </w:rPr>
        <w:t>
      списанные займы заемщика (за последние 5 (пять) лет);</w:t>
      </w:r>
    </w:p>
    <w:bookmarkEnd w:id="721"/>
    <w:bookmarkStart w:name="z4987" w:id="722"/>
    <w:p>
      <w:pPr>
        <w:spacing w:after="0"/>
        <w:ind w:left="0"/>
        <w:jc w:val="both"/>
      </w:pPr>
      <w:r>
        <w:rPr>
          <w:rFonts w:ascii="Times New Roman"/>
          <w:b w:val="false"/>
          <w:i w:val="false"/>
          <w:color w:val="000000"/>
          <w:sz w:val="28"/>
        </w:rPr>
        <w:t>
      итоговое значение провизий (на уровне заемщика и на уровне обязательства);</w:t>
      </w:r>
    </w:p>
    <w:bookmarkEnd w:id="722"/>
    <w:bookmarkStart w:name="z4988" w:id="723"/>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заемщика и займа и (или) внебалансового обязательства;</w:t>
      </w:r>
    </w:p>
    <w:bookmarkEnd w:id="723"/>
    <w:bookmarkStart w:name="z4989" w:id="724"/>
    <w:p>
      <w:pPr>
        <w:spacing w:after="0"/>
        <w:ind w:left="0"/>
        <w:jc w:val="both"/>
      </w:pPr>
      <w:r>
        <w:rPr>
          <w:rFonts w:ascii="Times New Roman"/>
          <w:b w:val="false"/>
          <w:i w:val="false"/>
          <w:color w:val="000000"/>
          <w:sz w:val="28"/>
        </w:rPr>
        <w:t>
      привязка к БИН или ИИН и внутренним уникальным идентификаторам (если они отличаются от БИН или ИИН) всех созаемщиков и гарантов;</w:t>
      </w:r>
    </w:p>
    <w:bookmarkEnd w:id="724"/>
    <w:bookmarkStart w:name="z4990" w:id="725"/>
    <w:p>
      <w:pPr>
        <w:spacing w:after="0"/>
        <w:ind w:left="0"/>
        <w:jc w:val="both"/>
      </w:pPr>
      <w:r>
        <w:rPr>
          <w:rFonts w:ascii="Times New Roman"/>
          <w:b w:val="false"/>
          <w:i w:val="false"/>
          <w:color w:val="000000"/>
          <w:sz w:val="28"/>
        </w:rPr>
        <w:t>
      привязка к уникальному идентификатору группы связанных заемщиков в соответствии с внутренними документами банка;</w:t>
      </w:r>
    </w:p>
    <w:bookmarkEnd w:id="725"/>
    <w:bookmarkStart w:name="z4991" w:id="726"/>
    <w:p>
      <w:pPr>
        <w:spacing w:after="0"/>
        <w:ind w:left="0"/>
        <w:jc w:val="both"/>
      </w:pPr>
      <w:r>
        <w:rPr>
          <w:rFonts w:ascii="Times New Roman"/>
          <w:b w:val="false"/>
          <w:i w:val="false"/>
          <w:color w:val="000000"/>
          <w:sz w:val="28"/>
        </w:rPr>
        <w:t>
      привязка к БИН или ИИН участников группы связанных заемщиков в соответствии с внутренними документами банка;</w:t>
      </w:r>
    </w:p>
    <w:bookmarkEnd w:id="726"/>
    <w:bookmarkStart w:name="z4992" w:id="727"/>
    <w:p>
      <w:pPr>
        <w:spacing w:after="0"/>
        <w:ind w:left="0"/>
        <w:jc w:val="both"/>
      </w:pPr>
      <w:r>
        <w:rPr>
          <w:rFonts w:ascii="Times New Roman"/>
          <w:b w:val="false"/>
          <w:i w:val="false"/>
          <w:color w:val="000000"/>
          <w:sz w:val="28"/>
        </w:rPr>
        <w:t>
      финансовые показатели заемщиков, требуемые для определения стадии обесценения и расчета провизий;</w:t>
      </w:r>
    </w:p>
    <w:bookmarkEnd w:id="727"/>
    <w:bookmarkStart w:name="z4993" w:id="728"/>
    <w:p>
      <w:pPr>
        <w:spacing w:after="0"/>
        <w:ind w:left="0"/>
        <w:jc w:val="both"/>
      </w:pPr>
      <w:r>
        <w:rPr>
          <w:rFonts w:ascii="Times New Roman"/>
          <w:b w:val="false"/>
          <w:i w:val="false"/>
          <w:color w:val="000000"/>
          <w:sz w:val="28"/>
        </w:rPr>
        <w:t>
      признак принадлежности субъекта к категории предпринимательства согласно Предпринимательскому кодексу Республики Казахстан;</w:t>
      </w:r>
    </w:p>
    <w:bookmarkEnd w:id="728"/>
    <w:bookmarkStart w:name="z4994" w:id="729"/>
    <w:p>
      <w:pPr>
        <w:spacing w:after="0"/>
        <w:ind w:left="0"/>
        <w:jc w:val="both"/>
      </w:pPr>
      <w:r>
        <w:rPr>
          <w:rFonts w:ascii="Times New Roman"/>
          <w:b w:val="false"/>
          <w:i w:val="false"/>
          <w:color w:val="000000"/>
          <w:sz w:val="28"/>
        </w:rPr>
        <w:t>
      флаг принадлежности к списку лиц, связанных с банком особыми отношениями;</w:t>
      </w:r>
    </w:p>
    <w:bookmarkEnd w:id="729"/>
    <w:bookmarkStart w:name="z4995" w:id="730"/>
    <w:p>
      <w:pPr>
        <w:spacing w:after="0"/>
        <w:ind w:left="0"/>
        <w:jc w:val="both"/>
      </w:pPr>
      <w:r>
        <w:rPr>
          <w:rFonts w:ascii="Times New Roman"/>
          <w:b w:val="false"/>
          <w:i w:val="false"/>
          <w:color w:val="000000"/>
          <w:sz w:val="28"/>
        </w:rPr>
        <w:t>
      флаг реструктуризации и (или) вынужденной реструктуризации;</w:t>
      </w:r>
    </w:p>
    <w:bookmarkEnd w:id="730"/>
    <w:bookmarkStart w:name="z4996" w:id="731"/>
    <w:p>
      <w:pPr>
        <w:spacing w:after="0"/>
        <w:ind w:left="0"/>
        <w:jc w:val="both"/>
      </w:pPr>
      <w:r>
        <w:rPr>
          <w:rFonts w:ascii="Times New Roman"/>
          <w:b w:val="false"/>
          <w:i w:val="false"/>
          <w:color w:val="000000"/>
          <w:sz w:val="28"/>
        </w:rPr>
        <w:t>
      все даты проведения реструктуризаций по займу и заемщику по займам в данном банке.</w:t>
      </w:r>
    </w:p>
    <w:bookmarkEnd w:id="731"/>
    <w:bookmarkStart w:name="z4997" w:id="732"/>
    <w:p>
      <w:pPr>
        <w:spacing w:after="0"/>
        <w:ind w:left="0"/>
        <w:jc w:val="both"/>
      </w:pPr>
      <w:r>
        <w:rPr>
          <w:rFonts w:ascii="Times New Roman"/>
          <w:b w:val="false"/>
          <w:i w:val="false"/>
          <w:color w:val="000000"/>
          <w:sz w:val="28"/>
        </w:rPr>
        <w:t>
      Системы банка фиксируют и сохраняют в системах факт события значительного увеличения кредитного риска и события, являющегося объективным подтверждением обесценения по МСФО для всех заемщиков, их балансовых и внебалансовых обязательств и портфелей банка;</w:t>
      </w:r>
    </w:p>
    <w:bookmarkEnd w:id="732"/>
    <w:bookmarkStart w:name="z4998" w:id="733"/>
    <w:p>
      <w:pPr>
        <w:spacing w:after="0"/>
        <w:ind w:left="0"/>
        <w:jc w:val="both"/>
      </w:pPr>
      <w:r>
        <w:rPr>
          <w:rFonts w:ascii="Times New Roman"/>
          <w:b w:val="false"/>
          <w:i w:val="false"/>
          <w:color w:val="000000"/>
          <w:sz w:val="28"/>
        </w:rPr>
        <w:t>
      8) наличие процедуры валидации моделей оценки кредитного риска.</w:t>
      </w:r>
    </w:p>
    <w:bookmarkEnd w:id="733"/>
    <w:bookmarkStart w:name="z4999" w:id="734"/>
    <w:p>
      <w:pPr>
        <w:spacing w:after="0"/>
        <w:ind w:left="0"/>
        <w:jc w:val="both"/>
      </w:pPr>
      <w:r>
        <w:rPr>
          <w:rFonts w:ascii="Times New Roman"/>
          <w:b w:val="false"/>
          <w:i w:val="false"/>
          <w:color w:val="000000"/>
          <w:sz w:val="28"/>
        </w:rPr>
        <w:t>
      В целях обеспечения адекватности оценки кредитного риска с применением моделей банк регламентирует процессы их валидации, проведения бэк-тестинга, допустимые уровни отклонений от запланированного уровня рисков. В случае отклонения от запланированного уровня рисков банк разрабатывает план корректирующих мер.</w:t>
      </w:r>
    </w:p>
    <w:bookmarkEnd w:id="734"/>
    <w:bookmarkStart w:name="z5000" w:id="735"/>
    <w:p>
      <w:pPr>
        <w:spacing w:after="0"/>
        <w:ind w:left="0"/>
        <w:jc w:val="both"/>
      </w:pPr>
      <w:r>
        <w:rPr>
          <w:rFonts w:ascii="Times New Roman"/>
          <w:b w:val="false"/>
          <w:i w:val="false"/>
          <w:color w:val="000000"/>
          <w:sz w:val="28"/>
        </w:rPr>
        <w:t>
      Валидация осуществляется посредством одного или нескольких следующих методов:</w:t>
      </w:r>
    </w:p>
    <w:bookmarkEnd w:id="735"/>
    <w:bookmarkStart w:name="z5001" w:id="736"/>
    <w:p>
      <w:pPr>
        <w:spacing w:after="0"/>
        <w:ind w:left="0"/>
        <w:jc w:val="both"/>
      </w:pPr>
      <w:r>
        <w:rPr>
          <w:rFonts w:ascii="Times New Roman"/>
          <w:b w:val="false"/>
          <w:i w:val="false"/>
          <w:color w:val="000000"/>
          <w:sz w:val="28"/>
        </w:rPr>
        <w:t>
      проверка дискриминационной способности модели;</w:t>
      </w:r>
    </w:p>
    <w:bookmarkEnd w:id="736"/>
    <w:bookmarkStart w:name="z5002" w:id="737"/>
    <w:p>
      <w:pPr>
        <w:spacing w:after="0"/>
        <w:ind w:left="0"/>
        <w:jc w:val="both"/>
      </w:pPr>
      <w:r>
        <w:rPr>
          <w:rFonts w:ascii="Times New Roman"/>
          <w:b w:val="false"/>
          <w:i w:val="false"/>
          <w:color w:val="000000"/>
          <w:sz w:val="28"/>
        </w:rPr>
        <w:t>
      оценка прогнозной точности модели;</w:t>
      </w:r>
    </w:p>
    <w:bookmarkEnd w:id="737"/>
    <w:bookmarkStart w:name="z5003" w:id="738"/>
    <w:p>
      <w:pPr>
        <w:spacing w:after="0"/>
        <w:ind w:left="0"/>
        <w:jc w:val="both"/>
      </w:pPr>
      <w:r>
        <w:rPr>
          <w:rFonts w:ascii="Times New Roman"/>
          <w:b w:val="false"/>
          <w:i w:val="false"/>
          <w:color w:val="000000"/>
          <w:sz w:val="28"/>
        </w:rPr>
        <w:t>
      анализ миграции рейтингов;</w:t>
      </w:r>
    </w:p>
    <w:bookmarkEnd w:id="738"/>
    <w:bookmarkStart w:name="z5004" w:id="739"/>
    <w:p>
      <w:pPr>
        <w:spacing w:after="0"/>
        <w:ind w:left="0"/>
        <w:jc w:val="both"/>
      </w:pPr>
      <w:r>
        <w:rPr>
          <w:rFonts w:ascii="Times New Roman"/>
          <w:b w:val="false"/>
          <w:i w:val="false"/>
          <w:color w:val="000000"/>
          <w:sz w:val="28"/>
        </w:rPr>
        <w:t>
      сравнительный анализ рейтингов.</w:t>
      </w:r>
    </w:p>
    <w:bookmarkEnd w:id="739"/>
    <w:bookmarkStart w:name="z5005" w:id="740"/>
    <w:p>
      <w:pPr>
        <w:spacing w:after="0"/>
        <w:ind w:left="0"/>
        <w:jc w:val="both"/>
      </w:pPr>
      <w:r>
        <w:rPr>
          <w:rFonts w:ascii="Times New Roman"/>
          <w:b w:val="false"/>
          <w:i w:val="false"/>
          <w:color w:val="000000"/>
          <w:sz w:val="28"/>
        </w:rPr>
        <w:t>
      Валидация осуществляется не реже 1 (одного) раза в 3 (три) года независимым подразделением банка либо с привлечением независимой третьей стороны. Частота проведения валидации зависит от текущей рыночной ситуации, стратегии, объема активов, уровня сложности операций банка, увеличивается в случае существенных изменений в экономике или во внутренних процессах кредитования банка. Результаты валидации предоставляются комитету по вопросам управления рисками.</w:t>
      </w:r>
    </w:p>
    <w:bookmarkEnd w:id="740"/>
    <w:bookmarkStart w:name="z5006" w:id="741"/>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не реже 1 (одного) раза в 1 (один) год.</w:t>
      </w:r>
    </w:p>
    <w:bookmarkEnd w:id="741"/>
    <w:bookmarkStart w:name="z5007" w:id="742"/>
    <w:p>
      <w:pPr>
        <w:spacing w:after="0"/>
        <w:ind w:left="0"/>
        <w:jc w:val="both"/>
      </w:pPr>
      <w:r>
        <w:rPr>
          <w:rFonts w:ascii="Times New Roman"/>
          <w:b w:val="false"/>
          <w:i w:val="false"/>
          <w:color w:val="000000"/>
          <w:sz w:val="28"/>
        </w:rPr>
        <w:t>
      Внутренняя валидация скоринговых моделей проводится независимым подразделением банка при формализации во внутренних документах банка полного процесса валидации, включая, но не ограничиваясь, детально описанный процесс валидации параметров, используемых в расчете провизий (участники, периметр проверки, области проверки, критерии подготовки суждений, формат представления результатов, сроки).</w:t>
      </w:r>
    </w:p>
    <w:bookmarkEnd w:id="742"/>
    <w:bookmarkStart w:name="z5008" w:id="743"/>
    <w:p>
      <w:pPr>
        <w:spacing w:after="0"/>
        <w:ind w:left="0"/>
        <w:jc w:val="both"/>
      </w:pPr>
      <w:r>
        <w:rPr>
          <w:rFonts w:ascii="Times New Roman"/>
          <w:b w:val="false"/>
          <w:i w:val="false"/>
          <w:color w:val="000000"/>
          <w:sz w:val="28"/>
        </w:rPr>
        <w:t>
      Независимое подразделение банка, ответственное за валидацию, формирует заключение по каждому проверенному параметру с описанием процесса проверки, раскрытием результатов и степени значимости.</w:t>
      </w:r>
    </w:p>
    <w:bookmarkEnd w:id="743"/>
    <w:bookmarkStart w:name="z5009" w:id="744"/>
    <w:p>
      <w:pPr>
        <w:spacing w:after="0"/>
        <w:ind w:left="0"/>
        <w:jc w:val="both"/>
      </w:pPr>
      <w:r>
        <w:rPr>
          <w:rFonts w:ascii="Times New Roman"/>
          <w:b w:val="false"/>
          <w:i w:val="false"/>
          <w:color w:val="000000"/>
          <w:sz w:val="28"/>
        </w:rPr>
        <w:t>
      Результаты валидации с подробным обоснованием предоставляются комитету по вопросам управления рисками.</w:t>
      </w:r>
    </w:p>
    <w:bookmarkEnd w:id="744"/>
    <w:bookmarkStart w:name="z5010" w:id="745"/>
    <w:p>
      <w:pPr>
        <w:spacing w:after="0"/>
        <w:ind w:left="0"/>
        <w:jc w:val="both"/>
      </w:pPr>
      <w:r>
        <w:rPr>
          <w:rFonts w:ascii="Times New Roman"/>
          <w:b w:val="false"/>
          <w:i w:val="false"/>
          <w:color w:val="000000"/>
          <w:sz w:val="28"/>
        </w:rPr>
        <w:t>
      По результатам рассмотрения результатов валидации комитет по вопросам управления рисками составляет протокол, включающий заключение по вопросу необходимости или отсутствия необходимости внесения изменений в модель.</w:t>
      </w:r>
    </w:p>
    <w:bookmarkEnd w:id="745"/>
    <w:bookmarkStart w:name="z5011" w:id="746"/>
    <w:p>
      <w:pPr>
        <w:spacing w:after="0"/>
        <w:ind w:left="0"/>
        <w:jc w:val="both"/>
      </w:pPr>
      <w:r>
        <w:rPr>
          <w:rFonts w:ascii="Times New Roman"/>
          <w:b w:val="false"/>
          <w:i w:val="false"/>
          <w:color w:val="000000"/>
          <w:sz w:val="28"/>
        </w:rPr>
        <w:t>
      В рамках валидации модели требуется провести, в том числе:</w:t>
      </w:r>
    </w:p>
    <w:bookmarkEnd w:id="746"/>
    <w:bookmarkStart w:name="z5012" w:id="747"/>
    <w:p>
      <w:pPr>
        <w:spacing w:after="0"/>
        <w:ind w:left="0"/>
        <w:jc w:val="both"/>
      </w:pPr>
      <w:r>
        <w:rPr>
          <w:rFonts w:ascii="Times New Roman"/>
          <w:b w:val="false"/>
          <w:i w:val="false"/>
          <w:color w:val="000000"/>
          <w:sz w:val="28"/>
        </w:rPr>
        <w:t>
      проверку соответствия модели регуляторным требованиям;</w:t>
      </w:r>
    </w:p>
    <w:bookmarkEnd w:id="747"/>
    <w:bookmarkStart w:name="z5013" w:id="748"/>
    <w:p>
      <w:pPr>
        <w:spacing w:after="0"/>
        <w:ind w:left="0"/>
        <w:jc w:val="both"/>
      </w:pPr>
      <w:r>
        <w:rPr>
          <w:rFonts w:ascii="Times New Roman"/>
          <w:b w:val="false"/>
          <w:i w:val="false"/>
          <w:color w:val="000000"/>
          <w:sz w:val="28"/>
        </w:rPr>
        <w:t>
      бэк-тестинг модели для определения точности предсказаний модели (проверка точности модели на выборках, отличных от той, на которой модель разрабатывалась). Банк осуществляет проверку релевантности модели на основе наиболее поздних наблюдений;</w:t>
      </w:r>
    </w:p>
    <w:bookmarkEnd w:id="748"/>
    <w:bookmarkStart w:name="z5014" w:id="749"/>
    <w:p>
      <w:pPr>
        <w:spacing w:after="0"/>
        <w:ind w:left="0"/>
        <w:jc w:val="both"/>
      </w:pPr>
      <w:r>
        <w:rPr>
          <w:rFonts w:ascii="Times New Roman"/>
          <w:b w:val="false"/>
          <w:i w:val="false"/>
          <w:color w:val="000000"/>
          <w:sz w:val="28"/>
        </w:rPr>
        <w:t>
      проверку глубины и качества данных, использованных при разработке моделей. В рамках проверки необходимо удостовериться эконометрическими тестами в достаточности выборки для последующего моделирования;</w:t>
      </w:r>
    </w:p>
    <w:bookmarkEnd w:id="749"/>
    <w:bookmarkStart w:name="z5015" w:id="750"/>
    <w:p>
      <w:pPr>
        <w:spacing w:after="0"/>
        <w:ind w:left="0"/>
        <w:jc w:val="both"/>
      </w:pPr>
      <w:r>
        <w:rPr>
          <w:rFonts w:ascii="Times New Roman"/>
          <w:b w:val="false"/>
          <w:i w:val="false"/>
          <w:color w:val="000000"/>
          <w:sz w:val="28"/>
        </w:rPr>
        <w:t>
      проверку модели на соответствие другим моделям оценки риск-метрик;</w:t>
      </w:r>
    </w:p>
    <w:bookmarkEnd w:id="750"/>
    <w:bookmarkStart w:name="z5016" w:id="751"/>
    <w:p>
      <w:pPr>
        <w:spacing w:after="0"/>
        <w:ind w:left="0"/>
        <w:jc w:val="both"/>
      </w:pPr>
      <w:r>
        <w:rPr>
          <w:rFonts w:ascii="Times New Roman"/>
          <w:b w:val="false"/>
          <w:i w:val="false"/>
          <w:color w:val="000000"/>
          <w:sz w:val="28"/>
        </w:rPr>
        <w:t>
      9) применение адекватных и обоснованных экспертных оценок при осуществлении оценки кредитного риска.</w:t>
      </w:r>
    </w:p>
    <w:bookmarkEnd w:id="751"/>
    <w:bookmarkStart w:name="z5017" w:id="752"/>
    <w:p>
      <w:pPr>
        <w:spacing w:after="0"/>
        <w:ind w:left="0"/>
        <w:jc w:val="both"/>
      </w:pPr>
      <w:r>
        <w:rPr>
          <w:rFonts w:ascii="Times New Roman"/>
          <w:b w:val="false"/>
          <w:i w:val="false"/>
          <w:color w:val="000000"/>
          <w:sz w:val="28"/>
        </w:rPr>
        <w:t>
      В ситуациях, когда необходимо применение экспертных оценок, банк обеспечивает:</w:t>
      </w:r>
    </w:p>
    <w:bookmarkEnd w:id="752"/>
    <w:bookmarkStart w:name="z5018" w:id="753"/>
    <w:p>
      <w:pPr>
        <w:spacing w:after="0"/>
        <w:ind w:left="0"/>
        <w:jc w:val="both"/>
      </w:pPr>
      <w:r>
        <w:rPr>
          <w:rFonts w:ascii="Times New Roman"/>
          <w:b w:val="false"/>
          <w:i w:val="false"/>
          <w:color w:val="000000"/>
          <w:sz w:val="28"/>
        </w:rPr>
        <w:t>
      регламентированный процесс применения экспертных оценок, с указанием лимитов применения таких оценок;</w:t>
      </w:r>
    </w:p>
    <w:bookmarkEnd w:id="753"/>
    <w:bookmarkStart w:name="z5019" w:id="754"/>
    <w:p>
      <w:pPr>
        <w:spacing w:after="0"/>
        <w:ind w:left="0"/>
        <w:jc w:val="both"/>
      </w:pPr>
      <w:r>
        <w:rPr>
          <w:rFonts w:ascii="Times New Roman"/>
          <w:b w:val="false"/>
          <w:i w:val="false"/>
          <w:color w:val="000000"/>
          <w:sz w:val="28"/>
        </w:rPr>
        <w:t>
      достаточный уровень компетенции работников, проводящих экспертную оценку;</w:t>
      </w:r>
    </w:p>
    <w:bookmarkEnd w:id="754"/>
    <w:bookmarkStart w:name="z5020" w:id="755"/>
    <w:p>
      <w:pPr>
        <w:spacing w:after="0"/>
        <w:ind w:left="0"/>
        <w:jc w:val="both"/>
      </w:pPr>
      <w:r>
        <w:rPr>
          <w:rFonts w:ascii="Times New Roman"/>
          <w:b w:val="false"/>
          <w:i w:val="false"/>
          <w:color w:val="000000"/>
          <w:sz w:val="28"/>
        </w:rPr>
        <w:t>
      единообразный подход в применении экспертных оценок. При одинаковых условиях экспертные оценки не имеют значительных отклонений;</w:t>
      </w:r>
    </w:p>
    <w:bookmarkEnd w:id="755"/>
    <w:bookmarkStart w:name="z5021" w:id="756"/>
    <w:p>
      <w:pPr>
        <w:spacing w:after="0"/>
        <w:ind w:left="0"/>
        <w:jc w:val="both"/>
      </w:pPr>
      <w:r>
        <w:rPr>
          <w:rFonts w:ascii="Times New Roman"/>
          <w:b w:val="false"/>
          <w:i w:val="false"/>
          <w:color w:val="000000"/>
          <w:sz w:val="28"/>
        </w:rPr>
        <w:t>
      экспертная оценка осуществляется на основе обоснованных и задокументированных допущений, с применением должной осторожности.</w:t>
      </w:r>
    </w:p>
    <w:bookmarkEnd w:id="756"/>
    <w:bookmarkStart w:name="z5022" w:id="757"/>
    <w:p>
      <w:pPr>
        <w:spacing w:after="0"/>
        <w:ind w:left="0"/>
        <w:jc w:val="both"/>
      </w:pPr>
      <w:r>
        <w:rPr>
          <w:rFonts w:ascii="Times New Roman"/>
          <w:b w:val="false"/>
          <w:i w:val="false"/>
          <w:color w:val="000000"/>
          <w:sz w:val="28"/>
        </w:rPr>
        <w:t>
      Применение банком экспертных оценок с учетом исторических данных дополняется анализом текущей рыночной и экономической ситуацией, в частности (по применимости):</w:t>
      </w:r>
    </w:p>
    <w:bookmarkEnd w:id="757"/>
    <w:bookmarkStart w:name="z5023" w:id="758"/>
    <w:p>
      <w:pPr>
        <w:spacing w:after="0"/>
        <w:ind w:left="0"/>
        <w:jc w:val="both"/>
      </w:pPr>
      <w:r>
        <w:rPr>
          <w:rFonts w:ascii="Times New Roman"/>
          <w:b w:val="false"/>
          <w:i w:val="false"/>
          <w:color w:val="000000"/>
          <w:sz w:val="28"/>
        </w:rPr>
        <w:t>
      изменениями в процессах предоставления займов, стандартов и практик принятия решений, возвратов, списаний;</w:t>
      </w:r>
    </w:p>
    <w:bookmarkEnd w:id="758"/>
    <w:bookmarkStart w:name="z5024" w:id="759"/>
    <w:p>
      <w:pPr>
        <w:spacing w:after="0"/>
        <w:ind w:left="0"/>
        <w:jc w:val="both"/>
      </w:pPr>
      <w:r>
        <w:rPr>
          <w:rFonts w:ascii="Times New Roman"/>
          <w:b w:val="false"/>
          <w:i w:val="false"/>
          <w:color w:val="000000"/>
          <w:sz w:val="28"/>
        </w:rPr>
        <w:t>
      изменениями внешних и внутренних экономических факторов, бизнес среды, с учетом динамики;</w:t>
      </w:r>
    </w:p>
    <w:bookmarkEnd w:id="759"/>
    <w:bookmarkStart w:name="z5025" w:id="760"/>
    <w:p>
      <w:pPr>
        <w:spacing w:after="0"/>
        <w:ind w:left="0"/>
        <w:jc w:val="both"/>
      </w:pPr>
      <w:r>
        <w:rPr>
          <w:rFonts w:ascii="Times New Roman"/>
          <w:b w:val="false"/>
          <w:i w:val="false"/>
          <w:color w:val="000000"/>
          <w:sz w:val="28"/>
        </w:rPr>
        <w:t>
      изменениями уровня неработающих и реструктурированных займов;</w:t>
      </w:r>
    </w:p>
    <w:bookmarkEnd w:id="760"/>
    <w:bookmarkStart w:name="z5026" w:id="761"/>
    <w:p>
      <w:pPr>
        <w:spacing w:after="0"/>
        <w:ind w:left="0"/>
        <w:jc w:val="both"/>
      </w:pPr>
      <w:r>
        <w:rPr>
          <w:rFonts w:ascii="Times New Roman"/>
          <w:b w:val="false"/>
          <w:i w:val="false"/>
          <w:color w:val="000000"/>
          <w:sz w:val="28"/>
        </w:rPr>
        <w:t>
      появлением новых сегментов рынка и продуктов;</w:t>
      </w:r>
    </w:p>
    <w:bookmarkEnd w:id="761"/>
    <w:bookmarkStart w:name="z5027" w:id="762"/>
    <w:p>
      <w:pPr>
        <w:spacing w:after="0"/>
        <w:ind w:left="0"/>
        <w:jc w:val="both"/>
      </w:pPr>
      <w:r>
        <w:rPr>
          <w:rFonts w:ascii="Times New Roman"/>
          <w:b w:val="false"/>
          <w:i w:val="false"/>
          <w:color w:val="000000"/>
          <w:sz w:val="28"/>
        </w:rPr>
        <w:t>
      изменениями концентрации кредитного риска;</w:t>
      </w:r>
    </w:p>
    <w:bookmarkEnd w:id="762"/>
    <w:bookmarkStart w:name="z5028" w:id="763"/>
    <w:p>
      <w:pPr>
        <w:spacing w:after="0"/>
        <w:ind w:left="0"/>
        <w:jc w:val="both"/>
      </w:pPr>
      <w:r>
        <w:rPr>
          <w:rFonts w:ascii="Times New Roman"/>
          <w:b w:val="false"/>
          <w:i w:val="false"/>
          <w:color w:val="000000"/>
          <w:sz w:val="28"/>
        </w:rPr>
        <w:t>
      10) наличие необходимых инструментов, включая совокупность инструментов хранения данных, обеспечивающую полную и достоверную информацию о займах (включая дебиторскую задолженность и условные обязательства), а также иных операциях, которым присущ кредитный риск, которые позволяют корректно оценить уровень кредитного риска.</w:t>
      </w:r>
    </w:p>
    <w:bookmarkEnd w:id="763"/>
    <w:bookmarkStart w:name="z5029" w:id="764"/>
    <w:p>
      <w:pPr>
        <w:spacing w:after="0"/>
        <w:ind w:left="0"/>
        <w:jc w:val="both"/>
      </w:pPr>
      <w:r>
        <w:rPr>
          <w:rFonts w:ascii="Times New Roman"/>
          <w:b w:val="false"/>
          <w:i w:val="false"/>
          <w:color w:val="000000"/>
          <w:sz w:val="28"/>
        </w:rPr>
        <w:t>
      Банк осуществляет кредитное администрирование в соответствии с процедурами, которые включают, но не ограничиваются следующим:</w:t>
      </w:r>
    </w:p>
    <w:bookmarkEnd w:id="764"/>
    <w:bookmarkStart w:name="z5030" w:id="765"/>
    <w:p>
      <w:pPr>
        <w:spacing w:after="0"/>
        <w:ind w:left="0"/>
        <w:jc w:val="both"/>
      </w:pPr>
      <w:r>
        <w:rPr>
          <w:rFonts w:ascii="Times New Roman"/>
          <w:b w:val="false"/>
          <w:i w:val="false"/>
          <w:color w:val="000000"/>
          <w:sz w:val="28"/>
        </w:rPr>
        <w:t>
      проверка соответствия представленных кредитных документов условиям предоставления кредитов;</w:t>
      </w:r>
    </w:p>
    <w:bookmarkEnd w:id="765"/>
    <w:bookmarkStart w:name="z5031" w:id="766"/>
    <w:p>
      <w:pPr>
        <w:spacing w:after="0"/>
        <w:ind w:left="0"/>
        <w:jc w:val="both"/>
      </w:pPr>
      <w:r>
        <w:rPr>
          <w:rFonts w:ascii="Times New Roman"/>
          <w:b w:val="false"/>
          <w:i w:val="false"/>
          <w:color w:val="000000"/>
          <w:sz w:val="28"/>
        </w:rPr>
        <w:t>
      проверка соответствия кредитных договоров принятым решениям;</w:t>
      </w:r>
    </w:p>
    <w:bookmarkEnd w:id="766"/>
    <w:bookmarkStart w:name="z5032" w:id="767"/>
    <w:p>
      <w:pPr>
        <w:spacing w:after="0"/>
        <w:ind w:left="0"/>
        <w:jc w:val="both"/>
      </w:pPr>
      <w:r>
        <w:rPr>
          <w:rFonts w:ascii="Times New Roman"/>
          <w:b w:val="false"/>
          <w:i w:val="false"/>
          <w:color w:val="000000"/>
          <w:sz w:val="28"/>
        </w:rPr>
        <w:t>
      формирование и ведение кредитного досье.</w:t>
      </w:r>
    </w:p>
    <w:bookmarkEnd w:id="767"/>
    <w:bookmarkStart w:name="z5033" w:id="768"/>
    <w:p>
      <w:pPr>
        <w:spacing w:after="0"/>
        <w:ind w:left="0"/>
        <w:jc w:val="both"/>
      </w:pPr>
      <w:r>
        <w:rPr>
          <w:rFonts w:ascii="Times New Roman"/>
          <w:b w:val="false"/>
          <w:i w:val="false"/>
          <w:color w:val="000000"/>
          <w:sz w:val="28"/>
        </w:rPr>
        <w:t>
      Допускается формирование кредитного досье (части кредитного досье) в электронном виде. Кредитное досье содержит (включая, но не ограничиваясь):</w:t>
      </w:r>
    </w:p>
    <w:bookmarkEnd w:id="768"/>
    <w:bookmarkStart w:name="z5034" w:id="769"/>
    <w:p>
      <w:pPr>
        <w:spacing w:after="0"/>
        <w:ind w:left="0"/>
        <w:jc w:val="both"/>
      </w:pPr>
      <w:r>
        <w:rPr>
          <w:rFonts w:ascii="Times New Roman"/>
          <w:b w:val="false"/>
          <w:i w:val="false"/>
          <w:color w:val="000000"/>
          <w:sz w:val="28"/>
        </w:rPr>
        <w:t>
      документы по идентификации заемщика:</w:t>
      </w:r>
    </w:p>
    <w:bookmarkEnd w:id="769"/>
    <w:bookmarkStart w:name="z5035" w:id="770"/>
    <w:p>
      <w:pPr>
        <w:spacing w:after="0"/>
        <w:ind w:left="0"/>
        <w:jc w:val="both"/>
      </w:pPr>
      <w:r>
        <w:rPr>
          <w:rFonts w:ascii="Times New Roman"/>
          <w:b w:val="false"/>
          <w:i w:val="false"/>
          <w:color w:val="000000"/>
          <w:sz w:val="28"/>
        </w:rPr>
        <w:t xml:space="preserve">
      к данной группе относятся документы, удостоверяющие личность физического лица, документы, связанные с образованием юридического лица (с раскрытием конечных собственников-физических лиц, владеющих прямо или косвенно десятью и более процентами акций или долей участия,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8-1 Закона о банках), подтверждением его правосубъектности, а также документы, подтверждающие полномочия лиц, действующих от имени заемщика и уполномоченные подписывать кредитную и залоговую документацию от имени заемщика.</w:t>
      </w:r>
    </w:p>
    <w:bookmarkEnd w:id="770"/>
    <w:bookmarkStart w:name="z5036" w:id="771"/>
    <w:p>
      <w:pPr>
        <w:spacing w:after="0"/>
        <w:ind w:left="0"/>
        <w:jc w:val="both"/>
      </w:pPr>
      <w:r>
        <w:rPr>
          <w:rFonts w:ascii="Times New Roman"/>
          <w:b w:val="false"/>
          <w:i w:val="false"/>
          <w:color w:val="000000"/>
          <w:sz w:val="28"/>
        </w:rPr>
        <w:t>
      Документация, относящаяся к определению целевого использования (за исключением овердрафтов, потребительских кредитов без подтверждения целевого использования совокупной суммой менее 0,2 (ноль целых два десятых) процента от собственного капитала банка и кредитов на цели пополнения оборотных средств совокупной суммой менее 0,2 (ноль целых два десятых) процента от собственного капитала банка, синдицированных займов с участием банков-нерезидентов Республики Казахстан):</w:t>
      </w:r>
    </w:p>
    <w:bookmarkEnd w:id="771"/>
    <w:bookmarkStart w:name="z5037" w:id="772"/>
    <w:p>
      <w:pPr>
        <w:spacing w:after="0"/>
        <w:ind w:left="0"/>
        <w:jc w:val="both"/>
      </w:pPr>
      <w:r>
        <w:rPr>
          <w:rFonts w:ascii="Times New Roman"/>
          <w:b w:val="false"/>
          <w:i w:val="false"/>
          <w:color w:val="000000"/>
          <w:sz w:val="28"/>
        </w:rPr>
        <w:t>
      к данной группе относятся документы и информация по сделке, в целях совершения которой запрашивается финансирование (включая первоначальные цели финансирования в случае реструктуризации и (или) рефинансирования), в том числе по крупным заемщикам:</w:t>
      </w:r>
    </w:p>
    <w:bookmarkEnd w:id="772"/>
    <w:bookmarkStart w:name="z5038" w:id="773"/>
    <w:p>
      <w:pPr>
        <w:spacing w:after="0"/>
        <w:ind w:left="0"/>
        <w:jc w:val="both"/>
      </w:pPr>
      <w:r>
        <w:rPr>
          <w:rFonts w:ascii="Times New Roman"/>
          <w:b w:val="false"/>
          <w:i w:val="false"/>
          <w:color w:val="000000"/>
          <w:sz w:val="28"/>
        </w:rPr>
        <w:t>
      документы, подтверждающие цель использования займа, в том числе для юридических лиц - договоры поставки, купли-продажи, внешнеторговые контракты;</w:t>
      </w:r>
    </w:p>
    <w:bookmarkEnd w:id="773"/>
    <w:bookmarkStart w:name="z5039" w:id="774"/>
    <w:p>
      <w:pPr>
        <w:spacing w:after="0"/>
        <w:ind w:left="0"/>
        <w:jc w:val="both"/>
      </w:pPr>
      <w:r>
        <w:rPr>
          <w:rFonts w:ascii="Times New Roman"/>
          <w:b w:val="false"/>
          <w:i w:val="false"/>
          <w:color w:val="000000"/>
          <w:sz w:val="28"/>
        </w:rPr>
        <w:t>
      для юридического лица, сумма займов и условных обязательств по которому превышает, для банков, размер собственного капитала которых превышает 100 (сто) миллиардов тенге - 0,1 (ноль целых одна десятая) процента от собственного капитала банка, для банков, размер собственного капитала которых не превышает 100 (сто) миллиардов тенге - 0,2 (ноль целых две десятые) процента от собственного капитала банка - технико-экономическое обоснование выдачи займа, характеризующее сроки окупаемости и уровень рентабельности кредитуемой сделки, либо бизнес-план заемщика, который отражает информацию об описании деятельности с указанием целей использования займа, рынки сбыта и маркетинговую стратегию заемщика, оценку рисков и управления ими, детализированный по годам финансовый план (финансовые показатели реализации бизнес-плана по годам, источники и объем финансирования бизнес-плана и погашения займа), смету доходов (расходов) (для займов, связанных с инвестиционными целями, стартап проектов или займов, основным источником погашения которых планируются поступления от реализации товаров и (или) услуг, приобретенных за счет кредитных средств).</w:t>
      </w:r>
    </w:p>
    <w:bookmarkEnd w:id="774"/>
    <w:bookmarkStart w:name="z5040" w:id="775"/>
    <w:p>
      <w:pPr>
        <w:spacing w:after="0"/>
        <w:ind w:left="0"/>
        <w:jc w:val="both"/>
      </w:pPr>
      <w:r>
        <w:rPr>
          <w:rFonts w:ascii="Times New Roman"/>
          <w:b w:val="false"/>
          <w:i w:val="false"/>
          <w:color w:val="000000"/>
          <w:sz w:val="28"/>
        </w:rPr>
        <w:t>
      Для целей настоящего пункта:</w:t>
      </w:r>
    </w:p>
    <w:bookmarkEnd w:id="775"/>
    <w:bookmarkStart w:name="z5041" w:id="776"/>
    <w:p>
      <w:pPr>
        <w:spacing w:after="0"/>
        <w:ind w:left="0"/>
        <w:jc w:val="both"/>
      </w:pPr>
      <w:r>
        <w:rPr>
          <w:rFonts w:ascii="Times New Roman"/>
          <w:b w:val="false"/>
          <w:i w:val="false"/>
          <w:color w:val="000000"/>
          <w:sz w:val="28"/>
        </w:rPr>
        <w:t>
      под кредитом на пополнение оборотных средств понимается кредит, предоставленный для финансирования текущих производственных процессов;</w:t>
      </w:r>
    </w:p>
    <w:bookmarkEnd w:id="776"/>
    <w:bookmarkStart w:name="z5042" w:id="777"/>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физическому лицу или индивидуальному предпринимателю без образования юридического лица и соответствующий следующим критериям:</w:t>
      </w:r>
    </w:p>
    <w:bookmarkEnd w:id="777"/>
    <w:bookmarkStart w:name="z5043" w:id="778"/>
    <w:p>
      <w:pPr>
        <w:spacing w:after="0"/>
        <w:ind w:left="0"/>
        <w:jc w:val="both"/>
      </w:pPr>
      <w:r>
        <w:rPr>
          <w:rFonts w:ascii="Times New Roman"/>
          <w:b w:val="false"/>
          <w:i w:val="false"/>
          <w:color w:val="000000"/>
          <w:sz w:val="28"/>
        </w:rPr>
        <w:t>
      выдача кредита не связана с целью финансирования предпринимательской деятельности и предполагается, что кредит не будет использован заемщиком для осуществления предпринимательской деятельности;</w:t>
      </w:r>
    </w:p>
    <w:bookmarkEnd w:id="778"/>
    <w:bookmarkStart w:name="z5044" w:id="779"/>
    <w:p>
      <w:pPr>
        <w:spacing w:after="0"/>
        <w:ind w:left="0"/>
        <w:jc w:val="both"/>
      </w:pPr>
      <w:r>
        <w:rPr>
          <w:rFonts w:ascii="Times New Roman"/>
          <w:b w:val="false"/>
          <w:i w:val="false"/>
          <w:color w:val="000000"/>
          <w:sz w:val="28"/>
        </w:rPr>
        <w:t>
      кредит планируется направить на приобретение товаров длительного пользования (жилой недвижимости, автомобилей, бытовой техники, мебели и иное) и (или) оплату различных услуг (образовательных, туристических, медицинских, ремонтно-строительных и иное) и (или) прочие покупки и цели (рефинансирование займа в другом банке (в случае если ранее полученный заем связан с потребительскими целями), мобильные телефоны, продукты питания и иное);</w:t>
      </w:r>
    </w:p>
    <w:bookmarkEnd w:id="779"/>
    <w:bookmarkStart w:name="z5045" w:id="780"/>
    <w:p>
      <w:pPr>
        <w:spacing w:after="0"/>
        <w:ind w:left="0"/>
        <w:jc w:val="both"/>
      </w:pPr>
      <w:r>
        <w:rPr>
          <w:rFonts w:ascii="Times New Roman"/>
          <w:b w:val="false"/>
          <w:i w:val="false"/>
          <w:color w:val="000000"/>
          <w:sz w:val="28"/>
        </w:rPr>
        <w:t>
      получатель кредита имеет постоянный источник дохода (заработная плата, пенсия, пособия, дивиденды от ценных бумаг, доходы от сдачи в аренду недвижимости и другие доходы), объективно позволяющий ему обслуживать обязательства перед банком по полученному кредиту, подтвержденный в порядке, определенном внутренними документами банка.</w:t>
      </w:r>
    </w:p>
    <w:bookmarkEnd w:id="780"/>
    <w:bookmarkStart w:name="z5046" w:id="781"/>
    <w:p>
      <w:pPr>
        <w:spacing w:after="0"/>
        <w:ind w:left="0"/>
        <w:jc w:val="both"/>
      </w:pPr>
      <w:r>
        <w:rPr>
          <w:rFonts w:ascii="Times New Roman"/>
          <w:b w:val="false"/>
          <w:i w:val="false"/>
          <w:color w:val="000000"/>
          <w:sz w:val="28"/>
        </w:rPr>
        <w:t>
      Документы необходимые для анализа финансового состояния клиента и качества обеспечения:</w:t>
      </w:r>
    </w:p>
    <w:bookmarkEnd w:id="781"/>
    <w:bookmarkStart w:name="z5047" w:id="782"/>
    <w:p>
      <w:pPr>
        <w:spacing w:after="0"/>
        <w:ind w:left="0"/>
        <w:jc w:val="both"/>
      </w:pPr>
      <w:r>
        <w:rPr>
          <w:rFonts w:ascii="Times New Roman"/>
          <w:b w:val="false"/>
          <w:i w:val="false"/>
          <w:color w:val="000000"/>
          <w:sz w:val="28"/>
        </w:rPr>
        <w:t>
      к данной группе документов относятся все документы, на основании которых проводится анализ финансового состояния заемщика и отражающие основные экономические показатели деятельности заемщика, а также документы, подтверждающие наличие, качество, размер принимаемого обеспечения, которые включают (но не ограничиваясь):</w:t>
      </w:r>
    </w:p>
    <w:bookmarkEnd w:id="782"/>
    <w:bookmarkStart w:name="z5048" w:id="783"/>
    <w:p>
      <w:pPr>
        <w:spacing w:after="0"/>
        <w:ind w:left="0"/>
        <w:jc w:val="both"/>
      </w:pPr>
      <w:r>
        <w:rPr>
          <w:rFonts w:ascii="Times New Roman"/>
          <w:b w:val="false"/>
          <w:i w:val="false"/>
          <w:color w:val="000000"/>
          <w:sz w:val="28"/>
        </w:rPr>
        <w:t>
      документы, подтверждающие полномочия лица, уполномоченного подписывать залоговую документацию;</w:t>
      </w:r>
    </w:p>
    <w:bookmarkEnd w:id="783"/>
    <w:bookmarkStart w:name="z5049" w:id="784"/>
    <w:p>
      <w:pPr>
        <w:spacing w:after="0"/>
        <w:ind w:left="0"/>
        <w:jc w:val="both"/>
      </w:pPr>
      <w:r>
        <w:rPr>
          <w:rFonts w:ascii="Times New Roman"/>
          <w:b w:val="false"/>
          <w:i w:val="false"/>
          <w:color w:val="000000"/>
          <w:sz w:val="28"/>
        </w:rPr>
        <w:t>
      отчет оценщика об оценке недвижимого имущества;</w:t>
      </w:r>
    </w:p>
    <w:bookmarkEnd w:id="784"/>
    <w:bookmarkStart w:name="z5050" w:id="785"/>
    <w:p>
      <w:pPr>
        <w:spacing w:after="0"/>
        <w:ind w:left="0"/>
        <w:jc w:val="both"/>
      </w:pPr>
      <w:r>
        <w:rPr>
          <w:rFonts w:ascii="Times New Roman"/>
          <w:b w:val="false"/>
          <w:i w:val="false"/>
          <w:color w:val="000000"/>
          <w:sz w:val="28"/>
        </w:rPr>
        <w:t>
      заключение подразделения залоговой службы по адекватности оценки залога оценщиком в соответствии с требованиями Правил и внутренними документами банка;</w:t>
      </w:r>
    </w:p>
    <w:bookmarkEnd w:id="785"/>
    <w:bookmarkStart w:name="z5051" w:id="786"/>
    <w:p>
      <w:pPr>
        <w:spacing w:after="0"/>
        <w:ind w:left="0"/>
        <w:jc w:val="both"/>
      </w:pPr>
      <w:r>
        <w:rPr>
          <w:rFonts w:ascii="Times New Roman"/>
          <w:b w:val="false"/>
          <w:i w:val="false"/>
          <w:color w:val="000000"/>
          <w:sz w:val="28"/>
        </w:rPr>
        <w:t>
      документы, подтверждающие права на объект залога;</w:t>
      </w:r>
    </w:p>
    <w:bookmarkEnd w:id="786"/>
    <w:bookmarkStart w:name="z5052" w:id="787"/>
    <w:p>
      <w:pPr>
        <w:spacing w:after="0"/>
        <w:ind w:left="0"/>
        <w:jc w:val="both"/>
      </w:pPr>
      <w:r>
        <w:rPr>
          <w:rFonts w:ascii="Times New Roman"/>
          <w:b w:val="false"/>
          <w:i w:val="false"/>
          <w:color w:val="000000"/>
          <w:sz w:val="28"/>
        </w:rPr>
        <w:t>
      копию договора о залоге, содержащего отметку о его регистрации в уполномоченных регистрирующих органах.</w:t>
      </w:r>
    </w:p>
    <w:bookmarkEnd w:id="787"/>
    <w:bookmarkStart w:name="z5053" w:id="788"/>
    <w:p>
      <w:pPr>
        <w:spacing w:after="0"/>
        <w:ind w:left="0"/>
        <w:jc w:val="both"/>
      </w:pPr>
      <w:r>
        <w:rPr>
          <w:rFonts w:ascii="Times New Roman"/>
          <w:b w:val="false"/>
          <w:i w:val="false"/>
          <w:color w:val="000000"/>
          <w:sz w:val="28"/>
        </w:rPr>
        <w:t>
      Документация, необходимая для проведения кредитного мониторинга. К данной группе относится документация, формируемая подразделениями банка в ходе ведения займа или необходимая для подтверждения периодического кредитного мониторинга, а также процедуры актуализации сведений о заемщиках (контрагентах) для целей управления кредитным риском;</w:t>
      </w:r>
    </w:p>
    <w:bookmarkEnd w:id="788"/>
    <w:bookmarkStart w:name="z5054" w:id="789"/>
    <w:p>
      <w:pPr>
        <w:spacing w:after="0"/>
        <w:ind w:left="0"/>
        <w:jc w:val="both"/>
      </w:pPr>
      <w:r>
        <w:rPr>
          <w:rFonts w:ascii="Times New Roman"/>
          <w:b w:val="false"/>
          <w:i w:val="false"/>
          <w:color w:val="000000"/>
          <w:sz w:val="28"/>
        </w:rPr>
        <w:t>
      11) наличие и функционирование системы управленческой информации.</w:t>
      </w:r>
    </w:p>
    <w:bookmarkEnd w:id="789"/>
    <w:bookmarkStart w:name="z5055" w:id="790"/>
    <w:p>
      <w:pPr>
        <w:spacing w:after="0"/>
        <w:ind w:left="0"/>
        <w:jc w:val="both"/>
      </w:pPr>
      <w:r>
        <w:rPr>
          <w:rFonts w:ascii="Times New Roman"/>
          <w:b w:val="false"/>
          <w:i w:val="false"/>
          <w:color w:val="000000"/>
          <w:sz w:val="28"/>
        </w:rPr>
        <w:t>
      Банк разрабатывает формы управленческой отчетности, которые, включают, но не ограничиваясь, следующую информацию:</w:t>
      </w:r>
    </w:p>
    <w:bookmarkEnd w:id="790"/>
    <w:bookmarkStart w:name="z5056" w:id="791"/>
    <w:p>
      <w:pPr>
        <w:spacing w:after="0"/>
        <w:ind w:left="0"/>
        <w:jc w:val="both"/>
      </w:pPr>
      <w:r>
        <w:rPr>
          <w:rFonts w:ascii="Times New Roman"/>
          <w:b w:val="false"/>
          <w:i w:val="false"/>
          <w:color w:val="000000"/>
          <w:sz w:val="28"/>
        </w:rPr>
        <w:t>
      о кредитном портфеле и его качестве, представленную в том числе в динамике его изменений;</w:t>
      </w:r>
    </w:p>
    <w:bookmarkEnd w:id="791"/>
    <w:bookmarkStart w:name="z5057" w:id="792"/>
    <w:p>
      <w:pPr>
        <w:spacing w:after="0"/>
        <w:ind w:left="0"/>
        <w:jc w:val="both"/>
      </w:pPr>
      <w:r>
        <w:rPr>
          <w:rFonts w:ascii="Times New Roman"/>
          <w:b w:val="false"/>
          <w:i w:val="false"/>
          <w:color w:val="000000"/>
          <w:sz w:val="28"/>
        </w:rPr>
        <w:t>
      о размере (уровне) подверженности кредитному риску, в том числе включая оценку приближения совокупной подверженности к установленным в банке лимитам по различным видам кредитов (предлимитный подход);</w:t>
      </w:r>
    </w:p>
    <w:bookmarkEnd w:id="792"/>
    <w:bookmarkStart w:name="z5058" w:id="793"/>
    <w:p>
      <w:pPr>
        <w:spacing w:after="0"/>
        <w:ind w:left="0"/>
        <w:jc w:val="both"/>
      </w:pPr>
      <w:r>
        <w:rPr>
          <w:rFonts w:ascii="Times New Roman"/>
          <w:b w:val="false"/>
          <w:i w:val="false"/>
          <w:color w:val="000000"/>
          <w:sz w:val="28"/>
        </w:rPr>
        <w:t>
      о подверженности кредитному риску в отношении группы связанных заемщиков и динамике ее изменения;</w:t>
      </w:r>
    </w:p>
    <w:bookmarkEnd w:id="793"/>
    <w:bookmarkStart w:name="z5059" w:id="794"/>
    <w:p>
      <w:pPr>
        <w:spacing w:after="0"/>
        <w:ind w:left="0"/>
        <w:jc w:val="both"/>
      </w:pPr>
      <w:r>
        <w:rPr>
          <w:rFonts w:ascii="Times New Roman"/>
          <w:b w:val="false"/>
          <w:i w:val="false"/>
          <w:color w:val="000000"/>
          <w:sz w:val="28"/>
        </w:rPr>
        <w:t>
      о концентрации кредитного риска крупнейших заемщиков (контрагентов) и заемщиков (контрагентов), связанных с банком особыми отношениями, в том числе с акционерами банка, и динамике его изменения;</w:t>
      </w:r>
    </w:p>
    <w:bookmarkEnd w:id="794"/>
    <w:bookmarkStart w:name="z5060" w:id="795"/>
    <w:p>
      <w:pPr>
        <w:spacing w:after="0"/>
        <w:ind w:left="0"/>
        <w:jc w:val="both"/>
      </w:pPr>
      <w:r>
        <w:rPr>
          <w:rFonts w:ascii="Times New Roman"/>
          <w:b w:val="false"/>
          <w:i w:val="false"/>
          <w:color w:val="000000"/>
          <w:sz w:val="28"/>
        </w:rPr>
        <w:t>
      о внутренних рейтингах заемщиков (контрагентов) и динамике их изменения, о мониторинге качества кредитов по рейтингам заемщиков (контрагентов) и его периодичность;</w:t>
      </w:r>
    </w:p>
    <w:bookmarkEnd w:id="795"/>
    <w:bookmarkStart w:name="z5061" w:id="796"/>
    <w:p>
      <w:pPr>
        <w:spacing w:after="0"/>
        <w:ind w:left="0"/>
        <w:jc w:val="both"/>
      </w:pPr>
      <w:r>
        <w:rPr>
          <w:rFonts w:ascii="Times New Roman"/>
          <w:b w:val="false"/>
          <w:i w:val="false"/>
          <w:color w:val="000000"/>
          <w:sz w:val="28"/>
        </w:rPr>
        <w:t>
      о размере провизий и оценке уровня адекватности провизий;</w:t>
      </w:r>
    </w:p>
    <w:bookmarkEnd w:id="796"/>
    <w:bookmarkStart w:name="z5062" w:id="797"/>
    <w:p>
      <w:pPr>
        <w:spacing w:after="0"/>
        <w:ind w:left="0"/>
        <w:jc w:val="both"/>
      </w:pPr>
      <w:r>
        <w:rPr>
          <w:rFonts w:ascii="Times New Roman"/>
          <w:b w:val="false"/>
          <w:i w:val="false"/>
          <w:color w:val="000000"/>
          <w:sz w:val="28"/>
        </w:rPr>
        <w:t>
      о реструктурируемых, рефинансируемых и проблемных кредитах;</w:t>
      </w:r>
    </w:p>
    <w:bookmarkEnd w:id="797"/>
    <w:bookmarkStart w:name="z5063" w:id="798"/>
    <w:p>
      <w:pPr>
        <w:spacing w:after="0"/>
        <w:ind w:left="0"/>
        <w:jc w:val="both"/>
      </w:pPr>
      <w:r>
        <w:rPr>
          <w:rFonts w:ascii="Times New Roman"/>
          <w:b w:val="false"/>
          <w:i w:val="false"/>
          <w:color w:val="000000"/>
          <w:sz w:val="28"/>
        </w:rPr>
        <w:t>
      о мониторинге и контроле за соблюдением лимитов;</w:t>
      </w:r>
    </w:p>
    <w:bookmarkEnd w:id="798"/>
    <w:bookmarkStart w:name="z5064" w:id="799"/>
    <w:p>
      <w:pPr>
        <w:spacing w:after="0"/>
        <w:ind w:left="0"/>
        <w:jc w:val="both"/>
      </w:pPr>
      <w:r>
        <w:rPr>
          <w:rFonts w:ascii="Times New Roman"/>
          <w:b w:val="false"/>
          <w:i w:val="false"/>
          <w:color w:val="000000"/>
          <w:sz w:val="28"/>
        </w:rPr>
        <w:t>
      об отклонениях от политики и лимитов.</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42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800"/>
    <w:p>
      <w:pPr>
        <w:spacing w:after="0"/>
        <w:ind w:left="0"/>
        <w:jc w:val="both"/>
      </w:pPr>
      <w:r>
        <w:rPr>
          <w:rFonts w:ascii="Times New Roman"/>
          <w:b w:val="false"/>
          <w:i w:val="false"/>
          <w:color w:val="000000"/>
          <w:sz w:val="28"/>
        </w:rPr>
        <w:t>
      43. Совет директоров обеспечивает наличие системы управления рыночным риском, которая соответствует текущей рыночной ситуации, стратегии развития, объему активов и уровню сложности операций банка и обеспечивает эффективное выявление, измерение, мониторинг и контроль за рыночным риском банка, а также определяет стратегию хеджирования рыночного риска с целью обеспечения достаточности собственного капитала для его покрытия.</w:t>
      </w:r>
    </w:p>
    <w:bookmarkEnd w:id="800"/>
    <w:bookmarkStart w:name="z607" w:id="801"/>
    <w:p>
      <w:pPr>
        <w:spacing w:after="0"/>
        <w:ind w:left="0"/>
        <w:jc w:val="both"/>
      </w:pPr>
      <w:r>
        <w:rPr>
          <w:rFonts w:ascii="Times New Roman"/>
          <w:b w:val="false"/>
          <w:i w:val="false"/>
          <w:color w:val="000000"/>
          <w:sz w:val="28"/>
        </w:rPr>
        <w:t>
      Система управления рыночным риском интегрирована во внутренние процессы управления рисками банка, а ее результаты составляют неотъемлемую часть процесса мониторинга и контроля уровня и профиля ее рыночного риска, а также процесса принятия решений при осуществлении текущей деятельности банка. Результаты оценки рыночного риска учитываются в процессе разработки стратегии развития банка.</w:t>
      </w:r>
    </w:p>
    <w:bookmarkEnd w:id="801"/>
    <w:bookmarkStart w:name="z608" w:id="802"/>
    <w:p>
      <w:pPr>
        <w:spacing w:after="0"/>
        <w:ind w:left="0"/>
        <w:jc w:val="both"/>
      </w:pPr>
      <w:r>
        <w:rPr>
          <w:rFonts w:ascii="Times New Roman"/>
          <w:b w:val="false"/>
          <w:i w:val="false"/>
          <w:color w:val="000000"/>
          <w:sz w:val="28"/>
        </w:rPr>
        <w:t>
      Управление рыночным риском осуществляется на основе управления позицией активов и обязательств, формирования стоимости финансовых инструментов с обеспечением положительной процентной маржи и ожидаемой доходности, управления открытой валютной позицией, постоянного мониторинга рыночных рисков и контроля установленных уровней риск-аппетита на соответствующие операции.</w:t>
      </w:r>
    </w:p>
    <w:bookmarkEnd w:id="802"/>
    <w:bookmarkStart w:name="z609" w:id="803"/>
    <w:p>
      <w:pPr>
        <w:spacing w:after="0"/>
        <w:ind w:left="0"/>
        <w:jc w:val="both"/>
      </w:pPr>
      <w:r>
        <w:rPr>
          <w:rFonts w:ascii="Times New Roman"/>
          <w:b w:val="false"/>
          <w:i w:val="false"/>
          <w:color w:val="000000"/>
          <w:sz w:val="28"/>
        </w:rPr>
        <w:t>
      Система управления рыночным риском включает управление портфелями ценных бумаг и контроль за открытыми позициями по валютам, процентным ставкам и производным финансовым инструментам.</w:t>
      </w:r>
    </w:p>
    <w:bookmarkEnd w:id="803"/>
    <w:bookmarkStart w:name="z610" w:id="804"/>
    <w:p>
      <w:pPr>
        <w:spacing w:after="0"/>
        <w:ind w:left="0"/>
        <w:jc w:val="both"/>
      </w:pPr>
      <w:r>
        <w:rPr>
          <w:rFonts w:ascii="Times New Roman"/>
          <w:b w:val="false"/>
          <w:i w:val="false"/>
          <w:color w:val="000000"/>
          <w:sz w:val="28"/>
        </w:rPr>
        <w:t>
      44. В процессе управления рыночным риском банк определяет:</w:t>
      </w:r>
    </w:p>
    <w:bookmarkEnd w:id="804"/>
    <w:bookmarkStart w:name="z611" w:id="805"/>
    <w:p>
      <w:pPr>
        <w:spacing w:after="0"/>
        <w:ind w:left="0"/>
        <w:jc w:val="both"/>
      </w:pPr>
      <w:r>
        <w:rPr>
          <w:rFonts w:ascii="Times New Roman"/>
          <w:b w:val="false"/>
          <w:i w:val="false"/>
          <w:color w:val="000000"/>
          <w:sz w:val="28"/>
        </w:rPr>
        <w:t>
      1) организационную структуру банка, вовлеченную в процесс управления рыночным риском, включая внутренний порядок подчиненности и отчетности;</w:t>
      </w:r>
    </w:p>
    <w:bookmarkEnd w:id="805"/>
    <w:bookmarkStart w:name="z612" w:id="806"/>
    <w:p>
      <w:pPr>
        <w:spacing w:after="0"/>
        <w:ind w:left="0"/>
        <w:jc w:val="both"/>
      </w:pPr>
      <w:r>
        <w:rPr>
          <w:rFonts w:ascii="Times New Roman"/>
          <w:b w:val="false"/>
          <w:i w:val="false"/>
          <w:color w:val="000000"/>
          <w:sz w:val="28"/>
        </w:rPr>
        <w:t>
      2) структуру торговой и банковской книги, а также процедуры разделения инструментов на инструменты торговой и банковской книги.</w:t>
      </w:r>
    </w:p>
    <w:bookmarkEnd w:id="806"/>
    <w:bookmarkStart w:name="z613" w:id="807"/>
    <w:p>
      <w:pPr>
        <w:spacing w:after="0"/>
        <w:ind w:left="0"/>
        <w:jc w:val="both"/>
      </w:pPr>
      <w:r>
        <w:rPr>
          <w:rFonts w:ascii="Times New Roman"/>
          <w:b w:val="false"/>
          <w:i w:val="false"/>
          <w:color w:val="000000"/>
          <w:sz w:val="28"/>
        </w:rPr>
        <w:t>
      Торговая книга – это часть финансового портфеля банка, в которой представлены финансовые инструменты, приобретаемые и продаваемые для поддержания торговых операций, получения дохода в виде разницы между ценой покупки и продажи, хеджирования операций банка от различных видов риска. Позиции торговой книги регулярно переоцениваются. Все остальные операции относятся к банковской книге;</w:t>
      </w:r>
    </w:p>
    <w:bookmarkEnd w:id="807"/>
    <w:bookmarkStart w:name="z614" w:id="808"/>
    <w:p>
      <w:pPr>
        <w:spacing w:after="0"/>
        <w:ind w:left="0"/>
        <w:jc w:val="both"/>
      </w:pPr>
      <w:r>
        <w:rPr>
          <w:rFonts w:ascii="Times New Roman"/>
          <w:b w:val="false"/>
          <w:i w:val="false"/>
          <w:color w:val="000000"/>
          <w:sz w:val="28"/>
        </w:rPr>
        <w:t>
      3) активы (обязательства), чувствительные к изменению процентных ставок;</w:t>
      </w:r>
    </w:p>
    <w:bookmarkEnd w:id="808"/>
    <w:bookmarkStart w:name="z615" w:id="809"/>
    <w:p>
      <w:pPr>
        <w:spacing w:after="0"/>
        <w:ind w:left="0"/>
        <w:jc w:val="both"/>
      </w:pPr>
      <w:r>
        <w:rPr>
          <w:rFonts w:ascii="Times New Roman"/>
          <w:b w:val="false"/>
          <w:i w:val="false"/>
          <w:color w:val="000000"/>
          <w:sz w:val="28"/>
        </w:rPr>
        <w:t>
      4) способы, методы и модели оценки рыночного риска;</w:t>
      </w:r>
    </w:p>
    <w:bookmarkEnd w:id="809"/>
    <w:bookmarkStart w:name="z616" w:id="810"/>
    <w:p>
      <w:pPr>
        <w:spacing w:after="0"/>
        <w:ind w:left="0"/>
        <w:jc w:val="both"/>
      </w:pPr>
      <w:r>
        <w:rPr>
          <w:rFonts w:ascii="Times New Roman"/>
          <w:b w:val="false"/>
          <w:i w:val="false"/>
          <w:color w:val="000000"/>
          <w:sz w:val="28"/>
        </w:rPr>
        <w:t>
      5) ориентированность на риск, подходы банка к установлению и мониторингу уровней риск-аппетита и методы минимизации риска.</w:t>
      </w:r>
    </w:p>
    <w:bookmarkEnd w:id="810"/>
    <w:bookmarkStart w:name="z617" w:id="8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Функционирование системы управления рыночным риском осуществляется на основе следующих основных компонентов, но не ограничиваясь ими:</w:t>
      </w:r>
    </w:p>
    <w:bookmarkEnd w:id="811"/>
    <w:bookmarkStart w:name="z2694" w:id="812"/>
    <w:p>
      <w:pPr>
        <w:spacing w:after="0"/>
        <w:ind w:left="0"/>
        <w:jc w:val="both"/>
      </w:pPr>
      <w:r>
        <w:rPr>
          <w:rFonts w:ascii="Times New Roman"/>
          <w:b w:val="false"/>
          <w:i w:val="false"/>
          <w:color w:val="000000"/>
          <w:sz w:val="28"/>
        </w:rPr>
        <w:t>
      1) утверждение и периодический анализ стратегии инвестиционной деятельности банка, формирование оптимальной структуры активов и пассивов с учетом определенного риск-профиля банка, уровня достаточности собственного капитала банка и уровня ликвидности для покрытия существенного рыночного риска.</w:t>
      </w:r>
    </w:p>
    <w:bookmarkEnd w:id="812"/>
    <w:bookmarkStart w:name="z2695" w:id="813"/>
    <w:p>
      <w:pPr>
        <w:spacing w:after="0"/>
        <w:ind w:left="0"/>
        <w:jc w:val="both"/>
      </w:pPr>
      <w:r>
        <w:rPr>
          <w:rFonts w:ascii="Times New Roman"/>
          <w:b w:val="false"/>
          <w:i w:val="false"/>
          <w:color w:val="000000"/>
          <w:sz w:val="28"/>
        </w:rPr>
        <w:t>
      Стратегия инвестиционной деятельности отвечает следующим основным принципам:</w:t>
      </w:r>
    </w:p>
    <w:bookmarkEnd w:id="813"/>
    <w:bookmarkStart w:name="z2696" w:id="814"/>
    <w:p>
      <w:pPr>
        <w:spacing w:after="0"/>
        <w:ind w:left="0"/>
        <w:jc w:val="both"/>
      </w:pPr>
      <w:r>
        <w:rPr>
          <w:rFonts w:ascii="Times New Roman"/>
          <w:b w:val="false"/>
          <w:i w:val="false"/>
          <w:color w:val="000000"/>
          <w:sz w:val="28"/>
        </w:rPr>
        <w:t>
      содержание соответствует общей стратегии банка по целям, направлениям и срокам реализации;</w:t>
      </w:r>
    </w:p>
    <w:bookmarkEnd w:id="814"/>
    <w:bookmarkStart w:name="z2697" w:id="815"/>
    <w:p>
      <w:pPr>
        <w:spacing w:after="0"/>
        <w:ind w:left="0"/>
        <w:jc w:val="both"/>
      </w:pPr>
      <w:r>
        <w:rPr>
          <w:rFonts w:ascii="Times New Roman"/>
          <w:b w:val="false"/>
          <w:i w:val="false"/>
          <w:color w:val="000000"/>
          <w:sz w:val="28"/>
        </w:rPr>
        <w:t>
      наличие взаимосвязи между тактическими и стратегическими процессами управления инвестиционной деятельностью банка;</w:t>
      </w:r>
    </w:p>
    <w:bookmarkEnd w:id="815"/>
    <w:bookmarkStart w:name="z2698" w:id="816"/>
    <w:p>
      <w:pPr>
        <w:spacing w:after="0"/>
        <w:ind w:left="0"/>
        <w:jc w:val="both"/>
      </w:pPr>
      <w:r>
        <w:rPr>
          <w:rFonts w:ascii="Times New Roman"/>
          <w:b w:val="false"/>
          <w:i w:val="false"/>
          <w:color w:val="000000"/>
          <w:sz w:val="28"/>
        </w:rPr>
        <w:t>
      максимальное получение прибыли, обеспечение роста качественного инвестиционного портфеля, поддержание достаточного уровня ликвидных активов в общей структуре активов банка;</w:t>
      </w:r>
    </w:p>
    <w:bookmarkEnd w:id="816"/>
    <w:bookmarkStart w:name="z2699" w:id="817"/>
    <w:p>
      <w:pPr>
        <w:spacing w:after="0"/>
        <w:ind w:left="0"/>
        <w:jc w:val="both"/>
      </w:pPr>
      <w:r>
        <w:rPr>
          <w:rFonts w:ascii="Times New Roman"/>
          <w:b w:val="false"/>
          <w:i w:val="false"/>
          <w:color w:val="000000"/>
          <w:sz w:val="28"/>
        </w:rPr>
        <w:t>
      формирование структуры активов и пассивов с учетом исполнения требований, методов и процедур по управлению рыночным риском;</w:t>
      </w:r>
    </w:p>
    <w:bookmarkEnd w:id="817"/>
    <w:bookmarkStart w:name="z2700" w:id="818"/>
    <w:p>
      <w:pPr>
        <w:spacing w:after="0"/>
        <w:ind w:left="0"/>
        <w:jc w:val="both"/>
      </w:pPr>
      <w:r>
        <w:rPr>
          <w:rFonts w:ascii="Times New Roman"/>
          <w:b w:val="false"/>
          <w:i w:val="false"/>
          <w:color w:val="000000"/>
          <w:sz w:val="28"/>
        </w:rPr>
        <w:t>
      2) утверждение процедуры по выявлению, оценке, мониторингу, контролю рыночных рисков, учитывающей все направления деятельности банка, которым присущ рыночный риск (банковская и торговая книги, балансовые и внебалансовые операции), а также методов хеджирования указанных рисков.</w:t>
      </w:r>
    </w:p>
    <w:bookmarkEnd w:id="818"/>
    <w:bookmarkStart w:name="z2701" w:id="819"/>
    <w:p>
      <w:pPr>
        <w:spacing w:after="0"/>
        <w:ind w:left="0"/>
        <w:jc w:val="both"/>
      </w:pPr>
      <w:r>
        <w:rPr>
          <w:rFonts w:ascii="Times New Roman"/>
          <w:b w:val="false"/>
          <w:i w:val="false"/>
          <w:color w:val="000000"/>
          <w:sz w:val="28"/>
        </w:rPr>
        <w:t>
      Банк разрабатывает процесс управления рыночным риском, который включает, но не ограничиваясь, следующее:</w:t>
      </w:r>
    </w:p>
    <w:bookmarkEnd w:id="819"/>
    <w:bookmarkStart w:name="z2702" w:id="820"/>
    <w:p>
      <w:pPr>
        <w:spacing w:after="0"/>
        <w:ind w:left="0"/>
        <w:jc w:val="both"/>
      </w:pPr>
      <w:r>
        <w:rPr>
          <w:rFonts w:ascii="Times New Roman"/>
          <w:b w:val="false"/>
          <w:i w:val="false"/>
          <w:color w:val="000000"/>
          <w:sz w:val="28"/>
        </w:rPr>
        <w:t>
      участников процесса управления рыночным риском, их полномочия и ответственность с четким определением структуры подотчетности, а также внутренний порядок обмена информацией;</w:t>
      </w:r>
    </w:p>
    <w:bookmarkEnd w:id="820"/>
    <w:bookmarkStart w:name="z2703" w:id="821"/>
    <w:p>
      <w:pPr>
        <w:spacing w:after="0"/>
        <w:ind w:left="0"/>
        <w:jc w:val="both"/>
      </w:pPr>
      <w:r>
        <w:rPr>
          <w:rFonts w:ascii="Times New Roman"/>
          <w:b w:val="false"/>
          <w:i w:val="false"/>
          <w:color w:val="000000"/>
          <w:sz w:val="28"/>
        </w:rPr>
        <w:t>
      перечень иностранных валют, финансовых инструментов, с которыми разрешено осуществлять операции, с указанием целей их использования, а также внутренние требования и критерии к финансовым инструментам, в том числе к объему, составу и условиям;</w:t>
      </w:r>
    </w:p>
    <w:bookmarkEnd w:id="821"/>
    <w:bookmarkStart w:name="z2704" w:id="822"/>
    <w:p>
      <w:pPr>
        <w:spacing w:after="0"/>
        <w:ind w:left="0"/>
        <w:jc w:val="both"/>
      </w:pPr>
      <w:r>
        <w:rPr>
          <w:rFonts w:ascii="Times New Roman"/>
          <w:b w:val="false"/>
          <w:i w:val="false"/>
          <w:color w:val="000000"/>
          <w:sz w:val="28"/>
        </w:rPr>
        <w:t>
      внутренний порядок и процедуры выявления, измерения, мониторинга и контроля за уровнем рыночного риска.</w:t>
      </w:r>
    </w:p>
    <w:bookmarkEnd w:id="822"/>
    <w:bookmarkStart w:name="z2705" w:id="823"/>
    <w:p>
      <w:pPr>
        <w:spacing w:after="0"/>
        <w:ind w:left="0"/>
        <w:jc w:val="both"/>
      </w:pPr>
      <w:r>
        <w:rPr>
          <w:rFonts w:ascii="Times New Roman"/>
          <w:b w:val="false"/>
          <w:i w:val="false"/>
          <w:color w:val="000000"/>
          <w:sz w:val="28"/>
        </w:rPr>
        <w:t>
      Процедуры выявления, измерения, мониторинга и контроля за рыночным риском:</w:t>
      </w:r>
    </w:p>
    <w:bookmarkEnd w:id="823"/>
    <w:bookmarkStart w:name="z2706" w:id="824"/>
    <w:p>
      <w:pPr>
        <w:spacing w:after="0"/>
        <w:ind w:left="0"/>
        <w:jc w:val="both"/>
      </w:pPr>
      <w:r>
        <w:rPr>
          <w:rFonts w:ascii="Times New Roman"/>
          <w:b w:val="false"/>
          <w:i w:val="false"/>
          <w:color w:val="000000"/>
          <w:sz w:val="28"/>
        </w:rPr>
        <w:t>
      охватывают все виды активов, обязательств, внебалансовые позиции;</w:t>
      </w:r>
    </w:p>
    <w:bookmarkEnd w:id="824"/>
    <w:bookmarkStart w:name="z2707" w:id="825"/>
    <w:p>
      <w:pPr>
        <w:spacing w:after="0"/>
        <w:ind w:left="0"/>
        <w:jc w:val="both"/>
      </w:pPr>
      <w:r>
        <w:rPr>
          <w:rFonts w:ascii="Times New Roman"/>
          <w:b w:val="false"/>
          <w:i w:val="false"/>
          <w:color w:val="000000"/>
          <w:sz w:val="28"/>
        </w:rPr>
        <w:t>
      охватывают все виды рыночного риска и их источники;</w:t>
      </w:r>
    </w:p>
    <w:bookmarkEnd w:id="825"/>
    <w:bookmarkStart w:name="z2708" w:id="826"/>
    <w:p>
      <w:pPr>
        <w:spacing w:after="0"/>
        <w:ind w:left="0"/>
        <w:jc w:val="both"/>
      </w:pPr>
      <w:r>
        <w:rPr>
          <w:rFonts w:ascii="Times New Roman"/>
          <w:b w:val="false"/>
          <w:i w:val="false"/>
          <w:color w:val="000000"/>
          <w:sz w:val="28"/>
        </w:rPr>
        <w:t>
      позволяют проводить на регулярной основе оценку и мониторинг изменений факторов, влияющих на уровень рыночного риска, включая ставки, цены и другие рыночные условия;</w:t>
      </w:r>
    </w:p>
    <w:bookmarkEnd w:id="826"/>
    <w:bookmarkStart w:name="z2709" w:id="827"/>
    <w:p>
      <w:pPr>
        <w:spacing w:after="0"/>
        <w:ind w:left="0"/>
        <w:jc w:val="both"/>
      </w:pPr>
      <w:r>
        <w:rPr>
          <w:rFonts w:ascii="Times New Roman"/>
          <w:b w:val="false"/>
          <w:i w:val="false"/>
          <w:color w:val="000000"/>
          <w:sz w:val="28"/>
        </w:rPr>
        <w:t>
      позволяют своевременно идентифицировать рыночный риск и принимать меры в ответ на неблагоприятные изменения рыночных условий.</w:t>
      </w:r>
    </w:p>
    <w:bookmarkEnd w:id="827"/>
    <w:bookmarkStart w:name="z2710" w:id="828"/>
    <w:p>
      <w:pPr>
        <w:spacing w:after="0"/>
        <w:ind w:left="0"/>
        <w:jc w:val="both"/>
      </w:pPr>
      <w:r>
        <w:rPr>
          <w:rFonts w:ascii="Times New Roman"/>
          <w:b w:val="false"/>
          <w:i w:val="false"/>
          <w:color w:val="000000"/>
          <w:sz w:val="28"/>
        </w:rPr>
        <w:t>
      В целях оценки принятого уровня рыночного риска банк использует модели, соответствующие стратегии развития, объему активов и уровню сложности операций банка.</w:t>
      </w:r>
    </w:p>
    <w:bookmarkEnd w:id="828"/>
    <w:bookmarkStart w:name="z2711" w:id="829"/>
    <w:p>
      <w:pPr>
        <w:spacing w:after="0"/>
        <w:ind w:left="0"/>
        <w:jc w:val="both"/>
      </w:pPr>
      <w:r>
        <w:rPr>
          <w:rFonts w:ascii="Times New Roman"/>
          <w:b w:val="false"/>
          <w:i w:val="false"/>
          <w:color w:val="000000"/>
          <w:sz w:val="28"/>
        </w:rPr>
        <w:t>
      В отношении банковской книги банк отдельно проводит выявление, измерение (оценку), мониторинг и контроль процентного риска.</w:t>
      </w:r>
    </w:p>
    <w:bookmarkEnd w:id="829"/>
    <w:bookmarkStart w:name="z2712" w:id="830"/>
    <w:p>
      <w:pPr>
        <w:spacing w:after="0"/>
        <w:ind w:left="0"/>
        <w:jc w:val="both"/>
      </w:pPr>
      <w:r>
        <w:rPr>
          <w:rFonts w:ascii="Times New Roman"/>
          <w:b w:val="false"/>
          <w:i w:val="false"/>
          <w:color w:val="000000"/>
          <w:sz w:val="28"/>
        </w:rPr>
        <w:t>
      Для количественной оценки процентного риска банковской книги банк использует как минимум два взаимодополняющих метода в целях мониторинга его уровня и управления:</w:t>
      </w:r>
    </w:p>
    <w:bookmarkEnd w:id="830"/>
    <w:bookmarkStart w:name="z2713" w:id="831"/>
    <w:p>
      <w:pPr>
        <w:spacing w:after="0"/>
        <w:ind w:left="0"/>
        <w:jc w:val="both"/>
      </w:pPr>
      <w:r>
        <w:rPr>
          <w:rFonts w:ascii="Times New Roman"/>
          <w:b w:val="false"/>
          <w:i w:val="false"/>
          <w:color w:val="000000"/>
          <w:sz w:val="28"/>
        </w:rPr>
        <w:t>
      количественную оценку изменения экономической стоимости банка (economic value of equity, EVE), то есть расчет величины, на которую изменится чистая стоимость денежных потоков, генерируемых требованиями и обязательствами, отраженными на балансовых и внебалансовых счетах банка;</w:t>
      </w:r>
    </w:p>
    <w:bookmarkEnd w:id="831"/>
    <w:bookmarkStart w:name="z2714" w:id="832"/>
    <w:p>
      <w:pPr>
        <w:spacing w:after="0"/>
        <w:ind w:left="0"/>
        <w:jc w:val="both"/>
      </w:pPr>
      <w:r>
        <w:rPr>
          <w:rFonts w:ascii="Times New Roman"/>
          <w:b w:val="false"/>
          <w:i w:val="false"/>
          <w:color w:val="000000"/>
          <w:sz w:val="28"/>
        </w:rPr>
        <w:t>
      количественную оценку изменения чистого процентного дохода (net interest income, NII), то есть расчет величины, на которую изменится ожидаемый чистый процентный доход банка в соответствии со сценариями процентного шока (параллельный сдвиг ставок вверх и (или) вниз).</w:t>
      </w:r>
    </w:p>
    <w:bookmarkEnd w:id="832"/>
    <w:bookmarkStart w:name="z2715" w:id="833"/>
    <w:p>
      <w:pPr>
        <w:spacing w:after="0"/>
        <w:ind w:left="0"/>
        <w:jc w:val="both"/>
      </w:pPr>
      <w:r>
        <w:rPr>
          <w:rFonts w:ascii="Times New Roman"/>
          <w:b w:val="false"/>
          <w:i w:val="false"/>
          <w:color w:val="000000"/>
          <w:sz w:val="28"/>
        </w:rPr>
        <w:t>
      Методы оценки процентного риска, используемые банком, охватывают все существенные источники процентного риска, присущие проводимым банком операциям (сделкам), чувствительным к изменению процентных ставок. В отношении номинированных в иностранной валюте финансовых инструментов, чувствительных к изменению процентных ставок, совокупный объем которых превышает 5 (пять) процентов от объема активов (обязательств), банк проводит измерение процентного риска отдельно по каждой из иностранных валют. Принятые в рамках методологии оценки процентного риска допущения документируются в соответствующих внутренних документах банка.</w:t>
      </w:r>
    </w:p>
    <w:bookmarkEnd w:id="833"/>
    <w:bookmarkStart w:name="z2716" w:id="834"/>
    <w:p>
      <w:pPr>
        <w:spacing w:after="0"/>
        <w:ind w:left="0"/>
        <w:jc w:val="both"/>
      </w:pPr>
      <w:r>
        <w:rPr>
          <w:rFonts w:ascii="Times New Roman"/>
          <w:b w:val="false"/>
          <w:i w:val="false"/>
          <w:color w:val="000000"/>
          <w:sz w:val="28"/>
        </w:rPr>
        <w:t>
      Банк на периодической основе проводит анализ чувствительности для каждого типа рыночного риска, присущего деятельности банка. Анализ чувствительности показывает воздействие на прибыль (убытки) и собственный капитал банка возможных изменений переменных факторов риска.</w:t>
      </w:r>
    </w:p>
    <w:bookmarkEnd w:id="834"/>
    <w:bookmarkStart w:name="z2717" w:id="835"/>
    <w:p>
      <w:pPr>
        <w:spacing w:after="0"/>
        <w:ind w:left="0"/>
        <w:jc w:val="both"/>
      </w:pPr>
      <w:r>
        <w:rPr>
          <w:rFonts w:ascii="Times New Roman"/>
          <w:b w:val="false"/>
          <w:i w:val="false"/>
          <w:color w:val="000000"/>
          <w:sz w:val="28"/>
        </w:rPr>
        <w:t>
      Банк на периодической основе осуществляет бэк-тестинг моделей оценки рыночного риска. Банк проводит бэк-тестинг на предмет проверки надежности и эффективности моделей оценки рыночного риска и, при необходимости, совершенствуют их. Результаты бэк-тестинга с предложениями при необходимости по совершенствованию процедур управления рыночным риском направляются комитету по вопросам управления рисками и совету директоров банка.</w:t>
      </w:r>
    </w:p>
    <w:bookmarkEnd w:id="835"/>
    <w:bookmarkStart w:name="z2718" w:id="836"/>
    <w:p>
      <w:pPr>
        <w:spacing w:after="0"/>
        <w:ind w:left="0"/>
        <w:jc w:val="both"/>
      </w:pPr>
      <w:r>
        <w:rPr>
          <w:rFonts w:ascii="Times New Roman"/>
          <w:b w:val="false"/>
          <w:i w:val="false"/>
          <w:color w:val="000000"/>
          <w:sz w:val="28"/>
        </w:rPr>
        <w:t>
      Банк проводит регулярный мониторинг уровня рыночного риска в целях предупреждения возможности превышения установленных уровней риск-аппетита. Периодичность мониторинга рыночного риска определяется банком исходя из степени его существенности для соответствующего направления деятельности банка.</w:t>
      </w:r>
    </w:p>
    <w:bookmarkEnd w:id="836"/>
    <w:bookmarkStart w:name="z2719" w:id="837"/>
    <w:p>
      <w:pPr>
        <w:spacing w:after="0"/>
        <w:ind w:left="0"/>
        <w:jc w:val="both"/>
      </w:pPr>
      <w:r>
        <w:rPr>
          <w:rFonts w:ascii="Times New Roman"/>
          <w:b w:val="false"/>
          <w:i w:val="false"/>
          <w:color w:val="000000"/>
          <w:sz w:val="28"/>
        </w:rPr>
        <w:t>
      Полученная в процессе мониторинга рыночного риска информация о существенном изменении уровня риска своевременно доводится до совета директоров, комитета по управлению рисками банка для принятия необходимых решений.</w:t>
      </w:r>
    </w:p>
    <w:bookmarkEnd w:id="837"/>
    <w:bookmarkStart w:name="z2720" w:id="838"/>
    <w:p>
      <w:pPr>
        <w:spacing w:after="0"/>
        <w:ind w:left="0"/>
        <w:jc w:val="both"/>
      </w:pPr>
      <w:r>
        <w:rPr>
          <w:rFonts w:ascii="Times New Roman"/>
          <w:b w:val="false"/>
          <w:i w:val="false"/>
          <w:color w:val="000000"/>
          <w:sz w:val="28"/>
        </w:rPr>
        <w:t>
      В целях минимизации рыночного риска банк устанавливает:</w:t>
      </w:r>
    </w:p>
    <w:bookmarkEnd w:id="838"/>
    <w:bookmarkStart w:name="z2721" w:id="839"/>
    <w:p>
      <w:pPr>
        <w:spacing w:after="0"/>
        <w:ind w:left="0"/>
        <w:jc w:val="both"/>
      </w:pPr>
      <w:r>
        <w:rPr>
          <w:rFonts w:ascii="Times New Roman"/>
          <w:b w:val="false"/>
          <w:i w:val="false"/>
          <w:color w:val="000000"/>
          <w:sz w:val="28"/>
        </w:rPr>
        <w:t>
      уровни риск-аппетита по валютному, ценовому и процентному рискам в соответствии с главой 3 Правил;</w:t>
      </w:r>
    </w:p>
    <w:bookmarkEnd w:id="839"/>
    <w:bookmarkStart w:name="z2722" w:id="840"/>
    <w:p>
      <w:pPr>
        <w:spacing w:after="0"/>
        <w:ind w:left="0"/>
        <w:jc w:val="both"/>
      </w:pPr>
      <w:r>
        <w:rPr>
          <w:rFonts w:ascii="Times New Roman"/>
          <w:b w:val="false"/>
          <w:i w:val="false"/>
          <w:color w:val="000000"/>
          <w:sz w:val="28"/>
        </w:rPr>
        <w:t>
      постоянный контроль за соблюдением установленных уровней риск-аппетита;</w:t>
      </w:r>
    </w:p>
    <w:bookmarkEnd w:id="840"/>
    <w:bookmarkStart w:name="z2723" w:id="841"/>
    <w:p>
      <w:pPr>
        <w:spacing w:after="0"/>
        <w:ind w:left="0"/>
        <w:jc w:val="both"/>
      </w:pPr>
      <w:r>
        <w:rPr>
          <w:rFonts w:ascii="Times New Roman"/>
          <w:b w:val="false"/>
          <w:i w:val="false"/>
          <w:color w:val="000000"/>
          <w:sz w:val="28"/>
        </w:rPr>
        <w:t>
      процедуры незамедлительного информирования совета директоров, комитета по вопросам управления рисками, правления банка и других заинтересованных структурных подразделений о достижении предельных значений и (или) нарушениях установленных уровней риск-аппетита;</w:t>
      </w:r>
    </w:p>
    <w:bookmarkEnd w:id="841"/>
    <w:bookmarkStart w:name="z2724" w:id="842"/>
    <w:p>
      <w:pPr>
        <w:spacing w:after="0"/>
        <w:ind w:left="0"/>
        <w:jc w:val="both"/>
      </w:pPr>
      <w:r>
        <w:rPr>
          <w:rFonts w:ascii="Times New Roman"/>
          <w:b w:val="false"/>
          <w:i w:val="false"/>
          <w:color w:val="000000"/>
          <w:sz w:val="28"/>
        </w:rPr>
        <w:t>
      меры по снижению рыночного риска, принимаемые при достижении уровней риск-аппетита;</w:t>
      </w:r>
    </w:p>
    <w:bookmarkEnd w:id="842"/>
    <w:bookmarkStart w:name="z2725" w:id="843"/>
    <w:p>
      <w:pPr>
        <w:spacing w:after="0"/>
        <w:ind w:left="0"/>
        <w:jc w:val="both"/>
      </w:pPr>
      <w:r>
        <w:rPr>
          <w:rFonts w:ascii="Times New Roman"/>
          <w:b w:val="false"/>
          <w:i w:val="false"/>
          <w:color w:val="000000"/>
          <w:sz w:val="28"/>
        </w:rPr>
        <w:t>
      3) процедуры управления рыночным риском при:</w:t>
      </w:r>
    </w:p>
    <w:bookmarkEnd w:id="843"/>
    <w:bookmarkStart w:name="z2726" w:id="844"/>
    <w:p>
      <w:pPr>
        <w:spacing w:after="0"/>
        <w:ind w:left="0"/>
        <w:jc w:val="both"/>
      </w:pPr>
      <w:r>
        <w:rPr>
          <w:rFonts w:ascii="Times New Roman"/>
          <w:b w:val="false"/>
          <w:i w:val="false"/>
          <w:color w:val="000000"/>
          <w:sz w:val="28"/>
        </w:rPr>
        <w:t>
      изменении структуры финансовых инструментов, их количественных и стоимостных показателей;</w:t>
      </w:r>
    </w:p>
    <w:bookmarkEnd w:id="844"/>
    <w:bookmarkStart w:name="z2727" w:id="845"/>
    <w:p>
      <w:pPr>
        <w:spacing w:after="0"/>
        <w:ind w:left="0"/>
        <w:jc w:val="both"/>
      </w:pPr>
      <w:r>
        <w:rPr>
          <w:rFonts w:ascii="Times New Roman"/>
          <w:b w:val="false"/>
          <w:i w:val="false"/>
          <w:color w:val="000000"/>
          <w:sz w:val="28"/>
        </w:rPr>
        <w:t>
      разработке и внедрении новых технологий и условий осуществления банковских операций и других сделок, иных финансовых инноваций и технологий;</w:t>
      </w:r>
    </w:p>
    <w:bookmarkEnd w:id="845"/>
    <w:bookmarkStart w:name="z2728" w:id="846"/>
    <w:p>
      <w:pPr>
        <w:spacing w:after="0"/>
        <w:ind w:left="0"/>
        <w:jc w:val="both"/>
      </w:pPr>
      <w:r>
        <w:rPr>
          <w:rFonts w:ascii="Times New Roman"/>
          <w:b w:val="false"/>
          <w:i w:val="false"/>
          <w:color w:val="000000"/>
          <w:sz w:val="28"/>
        </w:rPr>
        <w:t>
      при выходе на новые рынки;</w:t>
      </w:r>
    </w:p>
    <w:bookmarkEnd w:id="846"/>
    <w:bookmarkStart w:name="z2729" w:id="847"/>
    <w:p>
      <w:pPr>
        <w:spacing w:after="0"/>
        <w:ind w:left="0"/>
        <w:jc w:val="both"/>
      </w:pPr>
      <w:r>
        <w:rPr>
          <w:rFonts w:ascii="Times New Roman"/>
          <w:b w:val="false"/>
          <w:i w:val="false"/>
          <w:color w:val="000000"/>
          <w:sz w:val="28"/>
        </w:rPr>
        <w:t>
      4) методы и критерии хеджирования рисков, включая установление критериев эффективности (оптимальности) и стоимости хеджирования.</w:t>
      </w:r>
    </w:p>
    <w:bookmarkEnd w:id="847"/>
    <w:bookmarkStart w:name="z2730" w:id="848"/>
    <w:p>
      <w:pPr>
        <w:spacing w:after="0"/>
        <w:ind w:left="0"/>
        <w:jc w:val="both"/>
      </w:pPr>
      <w:r>
        <w:rPr>
          <w:rFonts w:ascii="Times New Roman"/>
          <w:b w:val="false"/>
          <w:i w:val="false"/>
          <w:color w:val="000000"/>
          <w:sz w:val="28"/>
        </w:rPr>
        <w:t>
      Банк разрабатывает и реализует стратегию хеджирования для каждого вида рыночного риска, которая содержит:</w:t>
      </w:r>
    </w:p>
    <w:bookmarkEnd w:id="848"/>
    <w:bookmarkStart w:name="z2731" w:id="849"/>
    <w:p>
      <w:pPr>
        <w:spacing w:after="0"/>
        <w:ind w:left="0"/>
        <w:jc w:val="both"/>
      </w:pPr>
      <w:r>
        <w:rPr>
          <w:rFonts w:ascii="Times New Roman"/>
          <w:b w:val="false"/>
          <w:i w:val="false"/>
          <w:color w:val="000000"/>
          <w:sz w:val="28"/>
        </w:rPr>
        <w:t>
      хеджируемые статьи;</w:t>
      </w:r>
    </w:p>
    <w:bookmarkEnd w:id="849"/>
    <w:bookmarkStart w:name="z2732" w:id="850"/>
    <w:p>
      <w:pPr>
        <w:spacing w:after="0"/>
        <w:ind w:left="0"/>
        <w:jc w:val="both"/>
      </w:pPr>
      <w:r>
        <w:rPr>
          <w:rFonts w:ascii="Times New Roman"/>
          <w:b w:val="false"/>
          <w:i w:val="false"/>
          <w:color w:val="000000"/>
          <w:sz w:val="28"/>
        </w:rPr>
        <w:t>
      описание используемых инструментов хеджирования (использование инструментов биржевого, внебиржевого рынка с учетом оценки надежности контрагента, сроков инструментов хеджирования);</w:t>
      </w:r>
    </w:p>
    <w:bookmarkEnd w:id="850"/>
    <w:bookmarkStart w:name="z2733" w:id="851"/>
    <w:p>
      <w:pPr>
        <w:spacing w:after="0"/>
        <w:ind w:left="0"/>
        <w:jc w:val="both"/>
      </w:pPr>
      <w:r>
        <w:rPr>
          <w:rFonts w:ascii="Times New Roman"/>
          <w:b w:val="false"/>
          <w:i w:val="false"/>
          <w:color w:val="000000"/>
          <w:sz w:val="28"/>
        </w:rPr>
        <w:t>
      внутренний порядок определения необходимого уровня ликвидности для покрытия инструментов хеджирования;</w:t>
      </w:r>
    </w:p>
    <w:bookmarkEnd w:id="851"/>
    <w:bookmarkStart w:name="z2734" w:id="852"/>
    <w:p>
      <w:pPr>
        <w:spacing w:after="0"/>
        <w:ind w:left="0"/>
        <w:jc w:val="both"/>
      </w:pPr>
      <w:r>
        <w:rPr>
          <w:rFonts w:ascii="Times New Roman"/>
          <w:b w:val="false"/>
          <w:i w:val="false"/>
          <w:color w:val="000000"/>
          <w:sz w:val="28"/>
        </w:rPr>
        <w:t>
      описание процедуры и методов оценки эффективности хеджирования.</w:t>
      </w:r>
    </w:p>
    <w:bookmarkEnd w:id="852"/>
    <w:bookmarkStart w:name="z2735" w:id="853"/>
    <w:p>
      <w:pPr>
        <w:spacing w:after="0"/>
        <w:ind w:left="0"/>
        <w:jc w:val="both"/>
      </w:pPr>
      <w:r>
        <w:rPr>
          <w:rFonts w:ascii="Times New Roman"/>
          <w:b w:val="false"/>
          <w:i w:val="false"/>
          <w:color w:val="000000"/>
          <w:sz w:val="28"/>
        </w:rPr>
        <w:t>
      Хеджирование считается эффективным, если изменение справедливой стоимости или денежного потока по объекту хеджирования в полной мере компенсируются изменением справедливой стоимости или денежного потока по инструменту хеджирования. Хеджирование осуществляется в отношении конкретного идентифицируемого риска, а не общих рисков банка;</w:t>
      </w:r>
    </w:p>
    <w:bookmarkEnd w:id="853"/>
    <w:bookmarkStart w:name="z2736" w:id="854"/>
    <w:p>
      <w:pPr>
        <w:spacing w:after="0"/>
        <w:ind w:left="0"/>
        <w:jc w:val="both"/>
      </w:pPr>
      <w:r>
        <w:rPr>
          <w:rFonts w:ascii="Times New Roman"/>
          <w:b w:val="false"/>
          <w:i w:val="false"/>
          <w:color w:val="000000"/>
          <w:sz w:val="28"/>
        </w:rPr>
        <w:t>
      5) внутренний порядок и процедуры мониторинга доходности банка от использования финансовых инструментов;</w:t>
      </w:r>
    </w:p>
    <w:bookmarkEnd w:id="854"/>
    <w:bookmarkStart w:name="z2737" w:id="855"/>
    <w:p>
      <w:pPr>
        <w:spacing w:after="0"/>
        <w:ind w:left="0"/>
        <w:jc w:val="both"/>
      </w:pPr>
      <w:r>
        <w:rPr>
          <w:rFonts w:ascii="Times New Roman"/>
          <w:b w:val="false"/>
          <w:i w:val="false"/>
          <w:color w:val="000000"/>
          <w:sz w:val="28"/>
        </w:rPr>
        <w:t>
      6) процедуры осуществления стресс-тестирования в целях оценки рыночного риска, включая внутренний порядок использования их результатов в рамках осуществления процесса управления рисками.</w:t>
      </w:r>
    </w:p>
    <w:bookmarkEnd w:id="855"/>
    <w:bookmarkStart w:name="z2738" w:id="856"/>
    <w:p>
      <w:pPr>
        <w:spacing w:after="0"/>
        <w:ind w:left="0"/>
        <w:jc w:val="both"/>
      </w:pPr>
      <w:r>
        <w:rPr>
          <w:rFonts w:ascii="Times New Roman"/>
          <w:b w:val="false"/>
          <w:i w:val="false"/>
          <w:color w:val="000000"/>
          <w:sz w:val="28"/>
        </w:rPr>
        <w:t>
      Банк проводит стресс-тестирования рыночных рисков на периодической основе в целях выявления уровня потенциальных рыночных рисков, присущих деятельности банка, оценки способности банка противостоять изменениям.</w:t>
      </w:r>
    </w:p>
    <w:bookmarkEnd w:id="856"/>
    <w:bookmarkStart w:name="z2739" w:id="857"/>
    <w:p>
      <w:pPr>
        <w:spacing w:after="0"/>
        <w:ind w:left="0"/>
        <w:jc w:val="both"/>
      </w:pPr>
      <w:r>
        <w:rPr>
          <w:rFonts w:ascii="Times New Roman"/>
          <w:b w:val="false"/>
          <w:i w:val="false"/>
          <w:color w:val="000000"/>
          <w:sz w:val="28"/>
        </w:rPr>
        <w:t>
      Периодичность стресс-тестирования, процедуры и методы проведения устанавливаются в соответствующих внутренних документах банка. Периодичность проведения стресс-тестирования определятся исходя из уровня подверженности банка рыночному риску, волатильности рынков капитала и иных внешних факторов. Периодичность проведения стресс-тестирования увеличивается в случаях существенного изменения внешних факторов.</w:t>
      </w:r>
    </w:p>
    <w:bookmarkEnd w:id="857"/>
    <w:bookmarkStart w:name="z2740" w:id="858"/>
    <w:p>
      <w:pPr>
        <w:spacing w:after="0"/>
        <w:ind w:left="0"/>
        <w:jc w:val="both"/>
      </w:pPr>
      <w:r>
        <w:rPr>
          <w:rFonts w:ascii="Times New Roman"/>
          <w:b w:val="false"/>
          <w:i w:val="false"/>
          <w:color w:val="000000"/>
          <w:sz w:val="28"/>
        </w:rPr>
        <w:t>
      При проведении стресс-тестирования используются следующие сценарии:</w:t>
      </w:r>
    </w:p>
    <w:bookmarkEnd w:id="858"/>
    <w:bookmarkStart w:name="z2741" w:id="859"/>
    <w:p>
      <w:pPr>
        <w:spacing w:after="0"/>
        <w:ind w:left="0"/>
        <w:jc w:val="both"/>
      </w:pPr>
      <w:r>
        <w:rPr>
          <w:rFonts w:ascii="Times New Roman"/>
          <w:b w:val="false"/>
          <w:i w:val="false"/>
          <w:color w:val="000000"/>
          <w:sz w:val="28"/>
        </w:rPr>
        <w:t>
      исторические;</w:t>
      </w:r>
    </w:p>
    <w:bookmarkEnd w:id="859"/>
    <w:bookmarkStart w:name="z2742" w:id="860"/>
    <w:p>
      <w:pPr>
        <w:spacing w:after="0"/>
        <w:ind w:left="0"/>
        <w:jc w:val="both"/>
      </w:pPr>
      <w:r>
        <w:rPr>
          <w:rFonts w:ascii="Times New Roman"/>
          <w:b w:val="false"/>
          <w:i w:val="false"/>
          <w:color w:val="000000"/>
          <w:sz w:val="28"/>
        </w:rPr>
        <w:t>
      предусматривающие изменение курсов иностранных валют и (или) драгоценных металлов по открытым позициям банка;</w:t>
      </w:r>
    </w:p>
    <w:bookmarkEnd w:id="860"/>
    <w:bookmarkStart w:name="z2743" w:id="861"/>
    <w:p>
      <w:pPr>
        <w:spacing w:after="0"/>
        <w:ind w:left="0"/>
        <w:jc w:val="both"/>
      </w:pPr>
      <w:r>
        <w:rPr>
          <w:rFonts w:ascii="Times New Roman"/>
          <w:b w:val="false"/>
          <w:i w:val="false"/>
          <w:color w:val="000000"/>
          <w:sz w:val="28"/>
        </w:rPr>
        <w:t>
      предусматривающие изменение рыночной стоимости финансовых инструментов;</w:t>
      </w:r>
    </w:p>
    <w:bookmarkEnd w:id="861"/>
    <w:bookmarkStart w:name="z2744" w:id="862"/>
    <w:p>
      <w:pPr>
        <w:spacing w:after="0"/>
        <w:ind w:left="0"/>
        <w:jc w:val="both"/>
      </w:pPr>
      <w:r>
        <w:rPr>
          <w:rFonts w:ascii="Times New Roman"/>
          <w:b w:val="false"/>
          <w:i w:val="false"/>
          <w:color w:val="000000"/>
          <w:sz w:val="28"/>
        </w:rPr>
        <w:t>
      предусматривающие изменение общего уровня процентных ставок, сценарии роста или снижения доходности финансовых инструментов, чувствительных к изменению процентных ставок;</w:t>
      </w:r>
    </w:p>
    <w:bookmarkEnd w:id="862"/>
    <w:bookmarkStart w:name="z2745" w:id="863"/>
    <w:p>
      <w:pPr>
        <w:spacing w:after="0"/>
        <w:ind w:left="0"/>
        <w:jc w:val="both"/>
      </w:pPr>
      <w:r>
        <w:rPr>
          <w:rFonts w:ascii="Times New Roman"/>
          <w:b w:val="false"/>
          <w:i w:val="false"/>
          <w:color w:val="000000"/>
          <w:sz w:val="28"/>
        </w:rPr>
        <w:t>
      предусматривающие изменение доходности;</w:t>
      </w:r>
    </w:p>
    <w:bookmarkEnd w:id="863"/>
    <w:bookmarkStart w:name="z2746" w:id="864"/>
    <w:p>
      <w:pPr>
        <w:spacing w:after="0"/>
        <w:ind w:left="0"/>
        <w:jc w:val="both"/>
      </w:pPr>
      <w:r>
        <w:rPr>
          <w:rFonts w:ascii="Times New Roman"/>
          <w:b w:val="false"/>
          <w:i w:val="false"/>
          <w:color w:val="000000"/>
          <w:sz w:val="28"/>
        </w:rPr>
        <w:t>
      предусматривающие изменение соотношений между процентными ставками по привлекаемым и размещаемым банком ресурсам;</w:t>
      </w:r>
    </w:p>
    <w:bookmarkEnd w:id="864"/>
    <w:bookmarkStart w:name="z2747" w:id="865"/>
    <w:p>
      <w:pPr>
        <w:spacing w:after="0"/>
        <w:ind w:left="0"/>
        <w:jc w:val="both"/>
      </w:pPr>
      <w:r>
        <w:rPr>
          <w:rFonts w:ascii="Times New Roman"/>
          <w:b w:val="false"/>
          <w:i w:val="false"/>
          <w:color w:val="000000"/>
          <w:sz w:val="28"/>
        </w:rPr>
        <w:t>
      предусматривающие изменение степени волатильности рыночных процентных ставок;</w:t>
      </w:r>
    </w:p>
    <w:bookmarkEnd w:id="865"/>
    <w:bookmarkStart w:name="z2748" w:id="866"/>
    <w:p>
      <w:pPr>
        <w:spacing w:after="0"/>
        <w:ind w:left="0"/>
        <w:jc w:val="both"/>
      </w:pPr>
      <w:r>
        <w:rPr>
          <w:rFonts w:ascii="Times New Roman"/>
          <w:b w:val="false"/>
          <w:i w:val="false"/>
          <w:color w:val="000000"/>
          <w:sz w:val="28"/>
        </w:rPr>
        <w:t>
      предусматривающие резкие ухудшения ключевых рыночных, финансовых и (или) иных факторов и условий деятельности банка.</w:t>
      </w:r>
    </w:p>
    <w:bookmarkEnd w:id="866"/>
    <w:bookmarkStart w:name="z2749" w:id="867"/>
    <w:p>
      <w:pPr>
        <w:spacing w:after="0"/>
        <w:ind w:left="0"/>
        <w:jc w:val="both"/>
      </w:pPr>
      <w:r>
        <w:rPr>
          <w:rFonts w:ascii="Times New Roman"/>
          <w:b w:val="false"/>
          <w:i w:val="false"/>
          <w:color w:val="000000"/>
          <w:sz w:val="28"/>
        </w:rPr>
        <w:t>
      Банк использует методологию, сценарии стресс-тестирования, соответствующие структуре ее бизнеса и профилю принимаемых рисков.</w:t>
      </w:r>
    </w:p>
    <w:bookmarkEnd w:id="867"/>
    <w:bookmarkStart w:name="z2750" w:id="868"/>
    <w:p>
      <w:pPr>
        <w:spacing w:after="0"/>
        <w:ind w:left="0"/>
        <w:jc w:val="both"/>
      </w:pPr>
      <w:r>
        <w:rPr>
          <w:rFonts w:ascii="Times New Roman"/>
          <w:b w:val="false"/>
          <w:i w:val="false"/>
          <w:color w:val="000000"/>
          <w:sz w:val="28"/>
        </w:rPr>
        <w:t>
      Результаты стресс-тестирования представляются совету директоров, комитету по вопросам управления рисками и правлению банка, заинтересованным структурным подразделениям банка на периодической основе. Если результаты стресс-тестирования свидетельствуют об уязвимости банка к отдельным факторам риска, банк применяет меры по снижению уровня принятого риска;</w:t>
      </w:r>
    </w:p>
    <w:bookmarkEnd w:id="868"/>
    <w:bookmarkStart w:name="z2751" w:id="869"/>
    <w:p>
      <w:pPr>
        <w:spacing w:after="0"/>
        <w:ind w:left="0"/>
        <w:jc w:val="both"/>
      </w:pPr>
      <w:r>
        <w:rPr>
          <w:rFonts w:ascii="Times New Roman"/>
          <w:b w:val="false"/>
          <w:i w:val="false"/>
          <w:color w:val="000000"/>
          <w:sz w:val="28"/>
        </w:rPr>
        <w:t>
      7) система индикаторов раннего обнаружения подверженности рыночному риску, в том числе основанная на предлимитном подходе;</w:t>
      </w:r>
    </w:p>
    <w:bookmarkEnd w:id="869"/>
    <w:bookmarkStart w:name="z2752" w:id="870"/>
    <w:p>
      <w:pPr>
        <w:spacing w:after="0"/>
        <w:ind w:left="0"/>
        <w:jc w:val="both"/>
      </w:pPr>
      <w:r>
        <w:rPr>
          <w:rFonts w:ascii="Times New Roman"/>
          <w:b w:val="false"/>
          <w:i w:val="false"/>
          <w:color w:val="000000"/>
          <w:sz w:val="28"/>
        </w:rPr>
        <w:t>
      8) процедуры внесения изменений во внутренние документы и процедуры банка в случаях изменения рыночных условий, влияющих на уровень подверженности банка рыночному риску;</w:t>
      </w:r>
    </w:p>
    <w:bookmarkEnd w:id="870"/>
    <w:bookmarkStart w:name="z2753" w:id="871"/>
    <w:p>
      <w:pPr>
        <w:spacing w:after="0"/>
        <w:ind w:left="0"/>
        <w:jc w:val="both"/>
      </w:pPr>
      <w:r>
        <w:rPr>
          <w:rFonts w:ascii="Times New Roman"/>
          <w:b w:val="false"/>
          <w:i w:val="false"/>
          <w:color w:val="000000"/>
          <w:sz w:val="28"/>
        </w:rPr>
        <w:t>
      9) утверждение внутреннего порядка системы качественной, детализированной, периодической управленческой информации, позволяющей своевременно и в полном объеме оценивать уровень подверженности рыночному риску, приближение к установленным уровням риск-аппетита и своевременно реагировать на изменения.</w:t>
      </w:r>
    </w:p>
    <w:bookmarkEnd w:id="871"/>
    <w:bookmarkStart w:name="z2754" w:id="872"/>
    <w:p>
      <w:pPr>
        <w:spacing w:after="0"/>
        <w:ind w:left="0"/>
        <w:jc w:val="both"/>
      </w:pPr>
      <w:r>
        <w:rPr>
          <w:rFonts w:ascii="Times New Roman"/>
          <w:b w:val="false"/>
          <w:i w:val="false"/>
          <w:color w:val="000000"/>
          <w:sz w:val="28"/>
        </w:rPr>
        <w:t>
      Банк обеспечивает наличие эффективной системы управленческой информации, предназначенной для предоставления совету директоров банка, комитету по вопросам управления рисками и заинтересованным структурным подразделениям банка информации о подверженности банка рыночному риску.</w:t>
      </w:r>
    </w:p>
    <w:bookmarkEnd w:id="872"/>
    <w:bookmarkStart w:name="z2755" w:id="873"/>
    <w:p>
      <w:pPr>
        <w:spacing w:after="0"/>
        <w:ind w:left="0"/>
        <w:jc w:val="both"/>
      </w:pPr>
      <w:r>
        <w:rPr>
          <w:rFonts w:ascii="Times New Roman"/>
          <w:b w:val="false"/>
          <w:i w:val="false"/>
          <w:color w:val="000000"/>
          <w:sz w:val="28"/>
        </w:rPr>
        <w:t>
      Управленческая информация содержит, но не ограничиваясь, следующее:</w:t>
      </w:r>
    </w:p>
    <w:bookmarkEnd w:id="873"/>
    <w:bookmarkStart w:name="z2756" w:id="874"/>
    <w:p>
      <w:pPr>
        <w:spacing w:after="0"/>
        <w:ind w:left="0"/>
        <w:jc w:val="both"/>
      </w:pPr>
      <w:r>
        <w:rPr>
          <w:rFonts w:ascii="Times New Roman"/>
          <w:b w:val="false"/>
          <w:i w:val="false"/>
          <w:color w:val="000000"/>
          <w:sz w:val="28"/>
        </w:rPr>
        <w:t>
      сведения о текущем состоянии процентных ставок, курсов валют, рыночных котировок и их динамики;</w:t>
      </w:r>
    </w:p>
    <w:bookmarkEnd w:id="874"/>
    <w:bookmarkStart w:name="z2757" w:id="875"/>
    <w:p>
      <w:pPr>
        <w:spacing w:after="0"/>
        <w:ind w:left="0"/>
        <w:jc w:val="both"/>
      </w:pPr>
      <w:r>
        <w:rPr>
          <w:rFonts w:ascii="Times New Roman"/>
          <w:b w:val="false"/>
          <w:i w:val="false"/>
          <w:color w:val="000000"/>
          <w:sz w:val="28"/>
        </w:rPr>
        <w:t>
      сведения о существенных открытых позициях в разрезе валют и финансовых инструментов;</w:t>
      </w:r>
    </w:p>
    <w:bookmarkEnd w:id="875"/>
    <w:bookmarkStart w:name="z2758" w:id="876"/>
    <w:p>
      <w:pPr>
        <w:spacing w:after="0"/>
        <w:ind w:left="0"/>
        <w:jc w:val="both"/>
      </w:pPr>
      <w:r>
        <w:rPr>
          <w:rFonts w:ascii="Times New Roman"/>
          <w:b w:val="false"/>
          <w:i w:val="false"/>
          <w:color w:val="000000"/>
          <w:sz w:val="28"/>
        </w:rPr>
        <w:t>
      сведения об уровне процентного риска по агрегированным позициям по финансовым инструментам, чувствительным к изменению процентных ставок;</w:t>
      </w:r>
    </w:p>
    <w:bookmarkEnd w:id="876"/>
    <w:bookmarkStart w:name="z2759" w:id="877"/>
    <w:p>
      <w:pPr>
        <w:spacing w:after="0"/>
        <w:ind w:left="0"/>
        <w:jc w:val="both"/>
      </w:pPr>
      <w:r>
        <w:rPr>
          <w:rFonts w:ascii="Times New Roman"/>
          <w:b w:val="false"/>
          <w:i w:val="false"/>
          <w:color w:val="000000"/>
          <w:sz w:val="28"/>
        </w:rPr>
        <w:t>
      сведения о процентном риске банковского портфеля, заполняемые в соответствии с абзацами седьмым, восьмым и девятым подпункта 1) пункта 8 Структуры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w:t>
      </w:r>
    </w:p>
    <w:bookmarkEnd w:id="877"/>
    <w:bookmarkStart w:name="z2760" w:id="878"/>
    <w:p>
      <w:pPr>
        <w:spacing w:after="0"/>
        <w:ind w:left="0"/>
        <w:jc w:val="both"/>
      </w:pPr>
      <w:r>
        <w:rPr>
          <w:rFonts w:ascii="Times New Roman"/>
          <w:b w:val="false"/>
          <w:i w:val="false"/>
          <w:color w:val="000000"/>
          <w:sz w:val="28"/>
        </w:rPr>
        <w:t>
      сведения о соответствии позиций по финансовым инструментам, чувствительным к изменению процентных ставок, установленным лимитам;</w:t>
      </w:r>
    </w:p>
    <w:bookmarkEnd w:id="878"/>
    <w:bookmarkStart w:name="z2761" w:id="879"/>
    <w:p>
      <w:pPr>
        <w:spacing w:after="0"/>
        <w:ind w:left="0"/>
        <w:jc w:val="both"/>
      </w:pPr>
      <w:r>
        <w:rPr>
          <w:rFonts w:ascii="Times New Roman"/>
          <w:b w:val="false"/>
          <w:i w:val="false"/>
          <w:color w:val="000000"/>
          <w:sz w:val="28"/>
        </w:rPr>
        <w:t>
      сведения об индикаторах раннего предупреждения о рыночном риске;</w:t>
      </w:r>
    </w:p>
    <w:bookmarkEnd w:id="879"/>
    <w:bookmarkStart w:name="z2762" w:id="880"/>
    <w:p>
      <w:pPr>
        <w:spacing w:after="0"/>
        <w:ind w:left="0"/>
        <w:jc w:val="both"/>
      </w:pPr>
      <w:r>
        <w:rPr>
          <w:rFonts w:ascii="Times New Roman"/>
          <w:b w:val="false"/>
          <w:i w:val="false"/>
          <w:color w:val="000000"/>
          <w:sz w:val="28"/>
        </w:rPr>
        <w:t>
      экспертные оценки об изменении процентных ставок, курсов валют, индексов цен в перспективе;</w:t>
      </w:r>
    </w:p>
    <w:bookmarkEnd w:id="880"/>
    <w:bookmarkStart w:name="z2763" w:id="881"/>
    <w:p>
      <w:pPr>
        <w:spacing w:after="0"/>
        <w:ind w:left="0"/>
        <w:jc w:val="both"/>
      </w:pPr>
      <w:r>
        <w:rPr>
          <w:rFonts w:ascii="Times New Roman"/>
          <w:b w:val="false"/>
          <w:i w:val="false"/>
          <w:color w:val="000000"/>
          <w:sz w:val="28"/>
        </w:rPr>
        <w:t>
      результаты измерения рыночных рисков;</w:t>
      </w:r>
    </w:p>
    <w:bookmarkEnd w:id="881"/>
    <w:bookmarkStart w:name="z2764" w:id="882"/>
    <w:p>
      <w:pPr>
        <w:spacing w:after="0"/>
        <w:ind w:left="0"/>
        <w:jc w:val="both"/>
      </w:pPr>
      <w:r>
        <w:rPr>
          <w:rFonts w:ascii="Times New Roman"/>
          <w:b w:val="false"/>
          <w:i w:val="false"/>
          <w:color w:val="000000"/>
          <w:sz w:val="28"/>
        </w:rPr>
        <w:t>
      10) наличие внутреннего порядка принятия мер по снижению рыночного риска;</w:t>
      </w:r>
    </w:p>
    <w:bookmarkEnd w:id="882"/>
    <w:bookmarkStart w:name="z2765" w:id="883"/>
    <w:p>
      <w:pPr>
        <w:spacing w:after="0"/>
        <w:ind w:left="0"/>
        <w:jc w:val="both"/>
      </w:pPr>
      <w:r>
        <w:rPr>
          <w:rFonts w:ascii="Times New Roman"/>
          <w:b w:val="false"/>
          <w:i w:val="false"/>
          <w:color w:val="000000"/>
          <w:sz w:val="28"/>
        </w:rPr>
        <w:t>
      11) наличие процедур проведения оценки справедливой стоимости финансовых инструментов, основанной на рыночной информации.</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5" w:id="884"/>
    <w:p>
      <w:pPr>
        <w:spacing w:after="0"/>
        <w:ind w:left="0"/>
        <w:jc w:val="both"/>
      </w:pPr>
      <w:r>
        <w:rPr>
          <w:rFonts w:ascii="Times New Roman"/>
          <w:b w:val="false"/>
          <w:i w:val="false"/>
          <w:color w:val="000000"/>
          <w:sz w:val="28"/>
        </w:rPr>
        <w:t>
      46. Совет директоров обеспечивает наличие системы управления операционным риском, полностью интегрированной в общий процесс управления рисками банка на всех уровнях организационной структуры банка и во вновь создаваемые продукты, виды деятельности, процессы и системы и обеспечивает эффективное выявление, измерение, мониторинг и контроль за операционным риском банка с целью обеспечения достаточности собственного капитала для его покрытия. Система управления операционным риском включает, но, не ограничиваясь, следующее:</w:t>
      </w:r>
    </w:p>
    <w:bookmarkEnd w:id="884"/>
    <w:bookmarkStart w:name="z686" w:id="885"/>
    <w:p>
      <w:pPr>
        <w:spacing w:after="0"/>
        <w:ind w:left="0"/>
        <w:jc w:val="both"/>
      </w:pPr>
      <w:r>
        <w:rPr>
          <w:rFonts w:ascii="Times New Roman"/>
          <w:b w:val="false"/>
          <w:i w:val="false"/>
          <w:color w:val="000000"/>
          <w:sz w:val="28"/>
        </w:rPr>
        <w:t>
      1) подробно описанное взаимодействие между всеми участниками, вовлеченных в процесс управления операционным риском, включая внутренний порядок подотчетности.</w:t>
      </w:r>
    </w:p>
    <w:bookmarkEnd w:id="885"/>
    <w:bookmarkStart w:name="z687" w:id="886"/>
    <w:p>
      <w:pPr>
        <w:spacing w:after="0"/>
        <w:ind w:left="0"/>
        <w:jc w:val="both"/>
      </w:pPr>
      <w:r>
        <w:rPr>
          <w:rFonts w:ascii="Times New Roman"/>
          <w:b w:val="false"/>
          <w:i w:val="false"/>
          <w:color w:val="000000"/>
          <w:sz w:val="28"/>
        </w:rPr>
        <w:t>
      Банк определяет участников процесса управления операционным риском на основе 3 (трех) линий защиты.</w:t>
      </w:r>
    </w:p>
    <w:bookmarkEnd w:id="886"/>
    <w:bookmarkStart w:name="z688" w:id="887"/>
    <w:p>
      <w:pPr>
        <w:spacing w:after="0"/>
        <w:ind w:left="0"/>
        <w:jc w:val="both"/>
      </w:pPr>
      <w:r>
        <w:rPr>
          <w:rFonts w:ascii="Times New Roman"/>
          <w:b w:val="false"/>
          <w:i w:val="false"/>
          <w:color w:val="000000"/>
          <w:sz w:val="28"/>
        </w:rPr>
        <w:t>
      Первая линия защиты обеспечивается самими структурными подразделениями банка. Это означает, что руководители структурных подразделений несут ответственность за выявление, измерение, мониторинг и контроль за операционным риском, присущим их деятельности, в том числе, связанным с персоналом, продуктами, процессами и системами. Исходя из текущей рыночной ситуации, стратегии, объема активов, уровня сложности операций банка, для обеспечения эффективного функционирования системы управления операционным риском в первой линии защиты в структурных подразделениях банка назначаются риск-координаторы по операционному риску, определяется внутренний порядок их взаимодействия с подразделениями по управлению операционным риском и внутреннему аудиту.</w:t>
      </w:r>
    </w:p>
    <w:bookmarkEnd w:id="887"/>
    <w:bookmarkStart w:name="z689" w:id="888"/>
    <w:p>
      <w:pPr>
        <w:spacing w:after="0"/>
        <w:ind w:left="0"/>
        <w:jc w:val="both"/>
      </w:pPr>
      <w:r>
        <w:rPr>
          <w:rFonts w:ascii="Times New Roman"/>
          <w:b w:val="false"/>
          <w:i w:val="false"/>
          <w:color w:val="000000"/>
          <w:sz w:val="28"/>
        </w:rPr>
        <w:t>
      Вторая линия защиты обеспечивается независимым подразделением по управлению операционным риском.</w:t>
      </w:r>
    </w:p>
    <w:bookmarkEnd w:id="888"/>
    <w:bookmarkStart w:name="z690" w:id="889"/>
    <w:p>
      <w:pPr>
        <w:spacing w:after="0"/>
        <w:ind w:left="0"/>
        <w:jc w:val="both"/>
      </w:pPr>
      <w:r>
        <w:rPr>
          <w:rFonts w:ascii="Times New Roman"/>
          <w:b w:val="false"/>
          <w:i w:val="false"/>
          <w:color w:val="000000"/>
          <w:sz w:val="28"/>
        </w:rPr>
        <w:t>
      Третья линия защиты обеспечивается подразделением внутреннего аудита посредством независимой оценки эффективности системы управления операционным риском банка;</w:t>
      </w:r>
    </w:p>
    <w:bookmarkEnd w:id="889"/>
    <w:bookmarkStart w:name="z691" w:id="890"/>
    <w:p>
      <w:pPr>
        <w:spacing w:after="0"/>
        <w:ind w:left="0"/>
        <w:jc w:val="both"/>
      </w:pPr>
      <w:r>
        <w:rPr>
          <w:rFonts w:ascii="Times New Roman"/>
          <w:b w:val="false"/>
          <w:i w:val="false"/>
          <w:color w:val="000000"/>
          <w:sz w:val="28"/>
        </w:rPr>
        <w:t>
      2) описание инструментов измерения операционного риска;</w:t>
      </w:r>
    </w:p>
    <w:bookmarkEnd w:id="890"/>
    <w:bookmarkStart w:name="z692" w:id="891"/>
    <w:p>
      <w:pPr>
        <w:spacing w:after="0"/>
        <w:ind w:left="0"/>
        <w:jc w:val="both"/>
      </w:pPr>
      <w:r>
        <w:rPr>
          <w:rFonts w:ascii="Times New Roman"/>
          <w:b w:val="false"/>
          <w:i w:val="false"/>
          <w:color w:val="000000"/>
          <w:sz w:val="28"/>
        </w:rPr>
        <w:t>
      3) внутренний порядок установления уровня риск аппетита операционного риска;</w:t>
      </w:r>
    </w:p>
    <w:bookmarkEnd w:id="891"/>
    <w:bookmarkStart w:name="z693" w:id="892"/>
    <w:p>
      <w:pPr>
        <w:spacing w:after="0"/>
        <w:ind w:left="0"/>
        <w:jc w:val="both"/>
      </w:pPr>
      <w:r>
        <w:rPr>
          <w:rFonts w:ascii="Times New Roman"/>
          <w:b w:val="false"/>
          <w:i w:val="false"/>
          <w:color w:val="000000"/>
          <w:sz w:val="28"/>
        </w:rPr>
        <w:t>
      4) внутренний порядок обмена информацией и база внутренних событий операционного риска;</w:t>
      </w:r>
    </w:p>
    <w:bookmarkEnd w:id="892"/>
    <w:bookmarkStart w:name="z694" w:id="893"/>
    <w:p>
      <w:pPr>
        <w:spacing w:after="0"/>
        <w:ind w:left="0"/>
        <w:jc w:val="both"/>
      </w:pPr>
      <w:r>
        <w:rPr>
          <w:rFonts w:ascii="Times New Roman"/>
          <w:b w:val="false"/>
          <w:i w:val="false"/>
          <w:color w:val="000000"/>
          <w:sz w:val="28"/>
        </w:rPr>
        <w:t>
      5) систему классификации событий операционного риска для обеспечения точности при выявлении риска;</w:t>
      </w:r>
    </w:p>
    <w:bookmarkEnd w:id="893"/>
    <w:bookmarkStart w:name="z695" w:id="894"/>
    <w:p>
      <w:pPr>
        <w:spacing w:after="0"/>
        <w:ind w:left="0"/>
        <w:jc w:val="both"/>
      </w:pPr>
      <w:r>
        <w:rPr>
          <w:rFonts w:ascii="Times New Roman"/>
          <w:b w:val="false"/>
          <w:i w:val="false"/>
          <w:color w:val="000000"/>
          <w:sz w:val="28"/>
        </w:rPr>
        <w:t>
      6) осуществление анализа операционного риска и соответствующего пересмотра политики управления операционным риском в случае существенного изменения уровня и видов операционного риска банка.</w:t>
      </w:r>
    </w:p>
    <w:bookmarkEnd w:id="894"/>
    <w:bookmarkStart w:name="z696" w:id="895"/>
    <w:p>
      <w:pPr>
        <w:spacing w:after="0"/>
        <w:ind w:left="0"/>
        <w:jc w:val="both"/>
      </w:pPr>
      <w:r>
        <w:rPr>
          <w:rFonts w:ascii="Times New Roman"/>
          <w:b w:val="false"/>
          <w:i w:val="false"/>
          <w:color w:val="000000"/>
          <w:sz w:val="28"/>
        </w:rPr>
        <w:t>
      47. В целях построения эффективной системы управления операционным риском совет директоров несет ответственность за:</w:t>
      </w:r>
    </w:p>
    <w:bookmarkEnd w:id="895"/>
    <w:bookmarkStart w:name="z697" w:id="896"/>
    <w:p>
      <w:pPr>
        <w:spacing w:after="0"/>
        <w:ind w:left="0"/>
        <w:jc w:val="both"/>
      </w:pPr>
      <w:r>
        <w:rPr>
          <w:rFonts w:ascii="Times New Roman"/>
          <w:b w:val="false"/>
          <w:i w:val="false"/>
          <w:color w:val="000000"/>
          <w:sz w:val="28"/>
        </w:rPr>
        <w:t>
      1) утверждение политики управления операционным риском, которая включает, но, не ограничиваясь, следующие компоненты:</w:t>
      </w:r>
    </w:p>
    <w:bookmarkEnd w:id="896"/>
    <w:bookmarkStart w:name="z698" w:id="897"/>
    <w:p>
      <w:pPr>
        <w:spacing w:after="0"/>
        <w:ind w:left="0"/>
        <w:jc w:val="both"/>
      </w:pPr>
      <w:r>
        <w:rPr>
          <w:rFonts w:ascii="Times New Roman"/>
          <w:b w:val="false"/>
          <w:i w:val="false"/>
          <w:color w:val="000000"/>
          <w:sz w:val="28"/>
        </w:rPr>
        <w:t>
      цели и задачи управления операционным риском;</w:t>
      </w:r>
    </w:p>
    <w:bookmarkEnd w:id="897"/>
    <w:bookmarkStart w:name="z699" w:id="898"/>
    <w:p>
      <w:pPr>
        <w:spacing w:after="0"/>
        <w:ind w:left="0"/>
        <w:jc w:val="both"/>
      </w:pPr>
      <w:r>
        <w:rPr>
          <w:rFonts w:ascii="Times New Roman"/>
          <w:b w:val="false"/>
          <w:i w:val="false"/>
          <w:color w:val="000000"/>
          <w:sz w:val="28"/>
        </w:rPr>
        <w:t>
      основные принципы управления операционным риском;</w:t>
      </w:r>
    </w:p>
    <w:bookmarkEnd w:id="898"/>
    <w:bookmarkStart w:name="z700" w:id="899"/>
    <w:p>
      <w:pPr>
        <w:spacing w:after="0"/>
        <w:ind w:left="0"/>
        <w:jc w:val="both"/>
      </w:pPr>
      <w:r>
        <w:rPr>
          <w:rFonts w:ascii="Times New Roman"/>
          <w:b w:val="false"/>
          <w:i w:val="false"/>
          <w:color w:val="000000"/>
          <w:sz w:val="28"/>
        </w:rPr>
        <w:t>
      классификацию типов событий операционного риска;</w:t>
      </w:r>
    </w:p>
    <w:bookmarkEnd w:id="899"/>
    <w:bookmarkStart w:name="z701" w:id="900"/>
    <w:p>
      <w:pPr>
        <w:spacing w:after="0"/>
        <w:ind w:left="0"/>
        <w:jc w:val="both"/>
      </w:pPr>
      <w:r>
        <w:rPr>
          <w:rFonts w:ascii="Times New Roman"/>
          <w:b w:val="false"/>
          <w:i w:val="false"/>
          <w:color w:val="000000"/>
          <w:sz w:val="28"/>
        </w:rPr>
        <w:t>
      уровень риск-аппетита операционного риска банка;</w:t>
      </w:r>
    </w:p>
    <w:bookmarkEnd w:id="900"/>
    <w:bookmarkStart w:name="z702" w:id="901"/>
    <w:p>
      <w:pPr>
        <w:spacing w:after="0"/>
        <w:ind w:left="0"/>
        <w:jc w:val="both"/>
      </w:pPr>
      <w:r>
        <w:rPr>
          <w:rFonts w:ascii="Times New Roman"/>
          <w:b w:val="false"/>
          <w:i w:val="false"/>
          <w:color w:val="000000"/>
          <w:sz w:val="28"/>
        </w:rPr>
        <w:t>
      определение участников процесса управления операционным риском на основе 3 (трех) линий защиты, их полномочия, ответственность с четким определением структуры подотчетности;</w:t>
      </w:r>
    </w:p>
    <w:bookmarkEnd w:id="901"/>
    <w:bookmarkStart w:name="z703" w:id="902"/>
    <w:p>
      <w:pPr>
        <w:spacing w:after="0"/>
        <w:ind w:left="0"/>
        <w:jc w:val="both"/>
      </w:pPr>
      <w:r>
        <w:rPr>
          <w:rFonts w:ascii="Times New Roman"/>
          <w:b w:val="false"/>
          <w:i w:val="false"/>
          <w:color w:val="000000"/>
          <w:sz w:val="28"/>
        </w:rPr>
        <w:t>
      определение внутреннего порядка и процедур выявления, измерения, мониторинга и контроля за операционным риском, в том числе:</w:t>
      </w:r>
    </w:p>
    <w:bookmarkEnd w:id="902"/>
    <w:bookmarkStart w:name="z704" w:id="903"/>
    <w:p>
      <w:pPr>
        <w:spacing w:after="0"/>
        <w:ind w:left="0"/>
        <w:jc w:val="both"/>
      </w:pPr>
      <w:r>
        <w:rPr>
          <w:rFonts w:ascii="Times New Roman"/>
          <w:b w:val="false"/>
          <w:i w:val="false"/>
          <w:color w:val="000000"/>
          <w:sz w:val="28"/>
        </w:rPr>
        <w:t>
      определение ключевых индикаторов операционного риска;</w:t>
      </w:r>
    </w:p>
    <w:bookmarkEnd w:id="903"/>
    <w:bookmarkStart w:name="z705" w:id="904"/>
    <w:p>
      <w:pPr>
        <w:spacing w:after="0"/>
        <w:ind w:left="0"/>
        <w:jc w:val="both"/>
      </w:pPr>
      <w:r>
        <w:rPr>
          <w:rFonts w:ascii="Times New Roman"/>
          <w:b w:val="false"/>
          <w:i w:val="false"/>
          <w:color w:val="000000"/>
          <w:sz w:val="28"/>
        </w:rPr>
        <w:t>
      определение процедур и механизмов управления операционным риском;</w:t>
      </w:r>
    </w:p>
    <w:bookmarkEnd w:id="904"/>
    <w:bookmarkStart w:name="z706" w:id="905"/>
    <w:p>
      <w:pPr>
        <w:spacing w:after="0"/>
        <w:ind w:left="0"/>
        <w:jc w:val="both"/>
      </w:pPr>
      <w:r>
        <w:rPr>
          <w:rFonts w:ascii="Times New Roman"/>
          <w:b w:val="false"/>
          <w:i w:val="false"/>
          <w:color w:val="000000"/>
          <w:sz w:val="28"/>
        </w:rPr>
        <w:t>
      внутренний порядок обмена информацией между участниками процесса управления операционным риском по 3 (трем) линиям защиты, включая виды, формы и сроки представления информации;</w:t>
      </w:r>
    </w:p>
    <w:bookmarkEnd w:id="905"/>
    <w:bookmarkStart w:name="z707" w:id="906"/>
    <w:p>
      <w:pPr>
        <w:spacing w:after="0"/>
        <w:ind w:left="0"/>
        <w:jc w:val="both"/>
      </w:pPr>
      <w:r>
        <w:rPr>
          <w:rFonts w:ascii="Times New Roman"/>
          <w:b w:val="false"/>
          <w:i w:val="false"/>
          <w:color w:val="000000"/>
          <w:sz w:val="28"/>
        </w:rPr>
        <w:t>
      процедуры одобрения, утверждения, анализа и мониторинга отклонений от политики, процедур, лимитов;</w:t>
      </w:r>
    </w:p>
    <w:bookmarkEnd w:id="906"/>
    <w:bookmarkStart w:name="z708" w:id="907"/>
    <w:p>
      <w:pPr>
        <w:spacing w:after="0"/>
        <w:ind w:left="0"/>
        <w:jc w:val="both"/>
      </w:pPr>
      <w:r>
        <w:rPr>
          <w:rFonts w:ascii="Times New Roman"/>
          <w:b w:val="false"/>
          <w:i w:val="false"/>
          <w:color w:val="000000"/>
          <w:sz w:val="28"/>
        </w:rPr>
        <w:t>
      внутренний порядок и процедуры одобрения новых продуктов, видов деятельности, процессов и систем и (или) внесения значительных изменений в действующие продукты, виды деятельности, процессы и системы;</w:t>
      </w:r>
    </w:p>
    <w:bookmarkEnd w:id="907"/>
    <w:bookmarkStart w:name="z709" w:id="908"/>
    <w:p>
      <w:pPr>
        <w:spacing w:after="0"/>
        <w:ind w:left="0"/>
        <w:jc w:val="both"/>
      </w:pPr>
      <w:r>
        <w:rPr>
          <w:rFonts w:ascii="Times New Roman"/>
          <w:b w:val="false"/>
          <w:i w:val="false"/>
          <w:color w:val="000000"/>
          <w:sz w:val="28"/>
        </w:rPr>
        <w:t>
      требования по внесению изменений во внутренние документы и процедуры в случаях обнаружения недостатков в управлении операционным риском и (или) возникновения условий, влияющих на уровень подверженности банка операционному риску;</w:t>
      </w:r>
    </w:p>
    <w:bookmarkEnd w:id="908"/>
    <w:bookmarkStart w:name="z710" w:id="909"/>
    <w:p>
      <w:pPr>
        <w:spacing w:after="0"/>
        <w:ind w:left="0"/>
        <w:jc w:val="both"/>
      </w:pPr>
      <w:r>
        <w:rPr>
          <w:rFonts w:ascii="Times New Roman"/>
          <w:b w:val="false"/>
          <w:i w:val="false"/>
          <w:color w:val="000000"/>
          <w:sz w:val="28"/>
        </w:rPr>
        <w:t>
      2) формирование риск культуры управления операционным риском;</w:t>
      </w:r>
    </w:p>
    <w:bookmarkEnd w:id="909"/>
    <w:bookmarkStart w:name="z711" w:id="910"/>
    <w:p>
      <w:pPr>
        <w:spacing w:after="0"/>
        <w:ind w:left="0"/>
        <w:jc w:val="both"/>
      </w:pPr>
      <w:r>
        <w:rPr>
          <w:rFonts w:ascii="Times New Roman"/>
          <w:b w:val="false"/>
          <w:i w:val="false"/>
          <w:color w:val="000000"/>
          <w:sz w:val="28"/>
        </w:rPr>
        <w:t>
      3) регулярный анализ системы управления операционным риском в целях обеспечения своевременного выявления и управления операционным риском, вызванным изменениями внешних факторов, а также операционными рисками, связанными с новыми продуктами, видами деятельности, процессами или системами, включая изменения уровня и видов риска;</w:t>
      </w:r>
    </w:p>
    <w:bookmarkEnd w:id="910"/>
    <w:bookmarkStart w:name="z712" w:id="911"/>
    <w:p>
      <w:pPr>
        <w:spacing w:after="0"/>
        <w:ind w:left="0"/>
        <w:jc w:val="both"/>
      </w:pPr>
      <w:r>
        <w:rPr>
          <w:rFonts w:ascii="Times New Roman"/>
          <w:b w:val="false"/>
          <w:i w:val="false"/>
          <w:color w:val="000000"/>
          <w:sz w:val="28"/>
        </w:rPr>
        <w:t>
      4) обеспечение надлежащих условий для применения наилучшей практики управления операционным риском;</w:t>
      </w:r>
    </w:p>
    <w:bookmarkEnd w:id="911"/>
    <w:bookmarkStart w:name="z713" w:id="912"/>
    <w:p>
      <w:pPr>
        <w:spacing w:after="0"/>
        <w:ind w:left="0"/>
        <w:jc w:val="both"/>
      </w:pPr>
      <w:r>
        <w:rPr>
          <w:rFonts w:ascii="Times New Roman"/>
          <w:b w:val="false"/>
          <w:i w:val="false"/>
          <w:color w:val="000000"/>
          <w:sz w:val="28"/>
        </w:rPr>
        <w:t>
      5) утверждение и контроль над уровнями риск-аппетита в отношении операционного риска с регулярным пересмотром. В процессе анализа актуальности уровней риск-аппетита учитываются изменения внешних факторов, существенное увеличение объема операций банка, в том числе по отдельным видам деятельности, результаты аудиторских проверок системы внутреннего контроля (при наличии), эффективность системы управления операционным риском или снижения риска, объем понесенных убытков, а также частота, масштабы и характер нарушений установленных уровней риск-аппетита.</w:t>
      </w:r>
    </w:p>
    <w:bookmarkEnd w:id="912"/>
    <w:bookmarkStart w:name="z714" w:id="913"/>
    <w:p>
      <w:pPr>
        <w:spacing w:after="0"/>
        <w:ind w:left="0"/>
        <w:jc w:val="both"/>
      </w:pPr>
      <w:r>
        <w:rPr>
          <w:rFonts w:ascii="Times New Roman"/>
          <w:b w:val="false"/>
          <w:i w:val="false"/>
          <w:color w:val="000000"/>
          <w:sz w:val="28"/>
        </w:rPr>
        <w:t>
      48. Банк выявляет, измеряет, осуществляет мониторинг и контроль за операционным риском посредством следующего (но, не ограничиваясь ими):</w:t>
      </w:r>
    </w:p>
    <w:bookmarkEnd w:id="913"/>
    <w:bookmarkStart w:name="z715" w:id="914"/>
    <w:p>
      <w:pPr>
        <w:spacing w:after="0"/>
        <w:ind w:left="0"/>
        <w:jc w:val="both"/>
      </w:pPr>
      <w:r>
        <w:rPr>
          <w:rFonts w:ascii="Times New Roman"/>
          <w:b w:val="false"/>
          <w:i w:val="false"/>
          <w:color w:val="000000"/>
          <w:sz w:val="28"/>
        </w:rPr>
        <w:t>
      1) использования результатов аудиторских проверок.</w:t>
      </w:r>
    </w:p>
    <w:bookmarkEnd w:id="914"/>
    <w:bookmarkStart w:name="z716" w:id="915"/>
    <w:p>
      <w:pPr>
        <w:spacing w:after="0"/>
        <w:ind w:left="0"/>
        <w:jc w:val="both"/>
      </w:pPr>
      <w:r>
        <w:rPr>
          <w:rFonts w:ascii="Times New Roman"/>
          <w:b w:val="false"/>
          <w:i w:val="false"/>
          <w:color w:val="000000"/>
          <w:sz w:val="28"/>
        </w:rPr>
        <w:t>
      Результаты аудиторских проверок являются дополнительным источником информации в процессе управления операционным риском банка;</w:t>
      </w:r>
    </w:p>
    <w:bookmarkEnd w:id="915"/>
    <w:bookmarkStart w:name="z717" w:id="916"/>
    <w:p>
      <w:pPr>
        <w:spacing w:after="0"/>
        <w:ind w:left="0"/>
        <w:jc w:val="both"/>
      </w:pPr>
      <w:r>
        <w:rPr>
          <w:rFonts w:ascii="Times New Roman"/>
          <w:b w:val="false"/>
          <w:i w:val="false"/>
          <w:color w:val="000000"/>
          <w:sz w:val="28"/>
        </w:rPr>
        <w:t>
      2) осуществления сбора и анализа внутренних данных о событиях операционного риска.</w:t>
      </w:r>
    </w:p>
    <w:bookmarkEnd w:id="916"/>
    <w:bookmarkStart w:name="z718" w:id="917"/>
    <w:p>
      <w:pPr>
        <w:spacing w:after="0"/>
        <w:ind w:left="0"/>
        <w:jc w:val="both"/>
      </w:pPr>
      <w:r>
        <w:rPr>
          <w:rFonts w:ascii="Times New Roman"/>
          <w:b w:val="false"/>
          <w:i w:val="false"/>
          <w:color w:val="000000"/>
          <w:sz w:val="28"/>
        </w:rPr>
        <w:t>
      Сбор и анализ внутренних данных о событиях операционного риска (ведение базы данных по событиям операционного риска) – процесс, позволяющий оценить подверженность операционному риску и эффективность внутреннего контроля на основе информации об операционных убытках.</w:t>
      </w:r>
    </w:p>
    <w:bookmarkEnd w:id="917"/>
    <w:bookmarkStart w:name="z719" w:id="918"/>
    <w:p>
      <w:pPr>
        <w:spacing w:after="0"/>
        <w:ind w:left="0"/>
        <w:jc w:val="both"/>
      </w:pPr>
      <w:r>
        <w:rPr>
          <w:rFonts w:ascii="Times New Roman"/>
          <w:b w:val="false"/>
          <w:i w:val="false"/>
          <w:color w:val="000000"/>
          <w:sz w:val="28"/>
        </w:rPr>
        <w:t>
      Анализ случаев возникновения убытков дает представление о причинах крупных убытков и информацию о том, являются ли сбои в системе контроля эпизодическими или системными;</w:t>
      </w:r>
    </w:p>
    <w:bookmarkEnd w:id="918"/>
    <w:bookmarkStart w:name="z720" w:id="919"/>
    <w:p>
      <w:pPr>
        <w:spacing w:after="0"/>
        <w:ind w:left="0"/>
        <w:jc w:val="both"/>
      </w:pPr>
      <w:r>
        <w:rPr>
          <w:rFonts w:ascii="Times New Roman"/>
          <w:b w:val="false"/>
          <w:i w:val="false"/>
          <w:color w:val="000000"/>
          <w:sz w:val="28"/>
        </w:rPr>
        <w:t>
      3) осуществления анализа внешних событий по операционным рискам.</w:t>
      </w:r>
    </w:p>
    <w:bookmarkEnd w:id="919"/>
    <w:bookmarkStart w:name="z721" w:id="920"/>
    <w:p>
      <w:pPr>
        <w:spacing w:after="0"/>
        <w:ind w:left="0"/>
        <w:jc w:val="both"/>
      </w:pPr>
      <w:r>
        <w:rPr>
          <w:rFonts w:ascii="Times New Roman"/>
          <w:b w:val="false"/>
          <w:i w:val="false"/>
          <w:color w:val="000000"/>
          <w:sz w:val="28"/>
        </w:rPr>
        <w:t xml:space="preserve">
      В состав внешних данных о событиях операционного риска входят (при наличии) совокупные операционные убытки, сроки, данные о покрытии убытков, а также соответствующая эпизодическая информация о случаях возникновения убытков в других банках; </w:t>
      </w:r>
    </w:p>
    <w:bookmarkEnd w:id="920"/>
    <w:bookmarkStart w:name="z722" w:id="921"/>
    <w:p>
      <w:pPr>
        <w:spacing w:after="0"/>
        <w:ind w:left="0"/>
        <w:jc w:val="both"/>
      </w:pPr>
      <w:r>
        <w:rPr>
          <w:rFonts w:ascii="Times New Roman"/>
          <w:b w:val="false"/>
          <w:i w:val="false"/>
          <w:color w:val="000000"/>
          <w:sz w:val="28"/>
        </w:rPr>
        <w:t>
      4) проведения самооценки операционного риска.</w:t>
      </w:r>
    </w:p>
    <w:bookmarkEnd w:id="921"/>
    <w:bookmarkStart w:name="z723" w:id="922"/>
    <w:p>
      <w:pPr>
        <w:spacing w:after="0"/>
        <w:ind w:left="0"/>
        <w:jc w:val="both"/>
      </w:pPr>
      <w:r>
        <w:rPr>
          <w:rFonts w:ascii="Times New Roman"/>
          <w:b w:val="false"/>
          <w:i w:val="false"/>
          <w:color w:val="000000"/>
          <w:sz w:val="28"/>
        </w:rPr>
        <w:t>
      Инструмент, посредством которого банк выявляет и оценивает операционные риски, присущие процессам банка и оценивает их влияние на процессы и эффективность действующих процедур контроля за выявленными операционными рисками;</w:t>
      </w:r>
    </w:p>
    <w:bookmarkEnd w:id="922"/>
    <w:bookmarkStart w:name="z724" w:id="923"/>
    <w:p>
      <w:pPr>
        <w:spacing w:after="0"/>
        <w:ind w:left="0"/>
        <w:jc w:val="both"/>
      </w:pPr>
      <w:r>
        <w:rPr>
          <w:rFonts w:ascii="Times New Roman"/>
          <w:b w:val="false"/>
          <w:i w:val="false"/>
          <w:color w:val="000000"/>
          <w:sz w:val="28"/>
        </w:rPr>
        <w:t>
      5) описания (регламентации) бизнес-процессов.</w:t>
      </w:r>
    </w:p>
    <w:bookmarkEnd w:id="923"/>
    <w:bookmarkStart w:name="z725" w:id="924"/>
    <w:p>
      <w:pPr>
        <w:spacing w:after="0"/>
        <w:ind w:left="0"/>
        <w:jc w:val="both"/>
      </w:pPr>
      <w:r>
        <w:rPr>
          <w:rFonts w:ascii="Times New Roman"/>
          <w:b w:val="false"/>
          <w:i w:val="false"/>
          <w:color w:val="000000"/>
          <w:sz w:val="28"/>
        </w:rPr>
        <w:t>
      Описание (регламентация) бизнес-процессов – процесс, в рамках которого структурными подразделениями, составляющими первую линию защиты, определяются основные этапы бизнес-процессов, виды деятельности, организационные функции, способствующий выявлению операционных рисков, взаимозависимостей между рисками, недостатков контроля и управления рисками;</w:t>
      </w:r>
    </w:p>
    <w:bookmarkEnd w:id="924"/>
    <w:bookmarkStart w:name="z726" w:id="925"/>
    <w:p>
      <w:pPr>
        <w:spacing w:after="0"/>
        <w:ind w:left="0"/>
        <w:jc w:val="both"/>
      </w:pPr>
      <w:r>
        <w:rPr>
          <w:rFonts w:ascii="Times New Roman"/>
          <w:b w:val="false"/>
          <w:i w:val="false"/>
          <w:color w:val="000000"/>
          <w:sz w:val="28"/>
        </w:rPr>
        <w:t>
      6) применения ключевых индикаторов операционного риска.</w:t>
      </w:r>
    </w:p>
    <w:bookmarkEnd w:id="925"/>
    <w:bookmarkStart w:name="z727" w:id="926"/>
    <w:p>
      <w:pPr>
        <w:spacing w:after="0"/>
        <w:ind w:left="0"/>
        <w:jc w:val="both"/>
      </w:pPr>
      <w:r>
        <w:rPr>
          <w:rFonts w:ascii="Times New Roman"/>
          <w:b w:val="false"/>
          <w:i w:val="false"/>
          <w:color w:val="000000"/>
          <w:sz w:val="28"/>
        </w:rPr>
        <w:t>
      Ключевые индикаторы операционного риска представляют собой значения (величины) и (или) статистические данные, дающие представление о профиле операционном риске, которым подвержен банк. Ключевые индикаторы операционного риска используются для мониторинга изменений уровня операционного риска в банке, что, в свою очередь, обеспечивает выявление недостатков в процессах, организации, сбоев и потенциальных убытков;</w:t>
      </w:r>
    </w:p>
    <w:bookmarkEnd w:id="926"/>
    <w:bookmarkStart w:name="z728" w:id="927"/>
    <w:p>
      <w:pPr>
        <w:spacing w:after="0"/>
        <w:ind w:left="0"/>
        <w:jc w:val="both"/>
      </w:pPr>
      <w:r>
        <w:rPr>
          <w:rFonts w:ascii="Times New Roman"/>
          <w:b w:val="false"/>
          <w:i w:val="false"/>
          <w:color w:val="000000"/>
          <w:sz w:val="28"/>
        </w:rPr>
        <w:t>
      7) сценарный анализ операционного риска.</w:t>
      </w:r>
    </w:p>
    <w:bookmarkEnd w:id="927"/>
    <w:bookmarkStart w:name="z729" w:id="928"/>
    <w:p>
      <w:pPr>
        <w:spacing w:after="0"/>
        <w:ind w:left="0"/>
        <w:jc w:val="both"/>
      </w:pPr>
      <w:r>
        <w:rPr>
          <w:rFonts w:ascii="Times New Roman"/>
          <w:b w:val="false"/>
          <w:i w:val="false"/>
          <w:color w:val="000000"/>
          <w:sz w:val="28"/>
        </w:rPr>
        <w:t>
      Сценарный анализ операционного риска представляет собой процесс сопоставления внешних событий об убытках с внутренними процессами банка и получения экспертного заключения руководителей структурных подразделений и подразделения по управлению рисками о недостатках в системе контроля или рисках, не выявленных ранее для выявления потенциальных случаев возникновения операционного риска и оценки возможных последствий.</w:t>
      </w:r>
    </w:p>
    <w:bookmarkEnd w:id="928"/>
    <w:bookmarkStart w:name="z730" w:id="929"/>
    <w:p>
      <w:pPr>
        <w:spacing w:after="0"/>
        <w:ind w:left="0"/>
        <w:jc w:val="both"/>
      </w:pPr>
      <w:r>
        <w:rPr>
          <w:rFonts w:ascii="Times New Roman"/>
          <w:b w:val="false"/>
          <w:i w:val="false"/>
          <w:color w:val="000000"/>
          <w:sz w:val="28"/>
        </w:rPr>
        <w:t>
      Комитет по вопросам управления рисками обеспечивает наличие процесса регулярного мониторинга уровня операционного риска.</w:t>
      </w:r>
    </w:p>
    <w:bookmarkEnd w:id="929"/>
    <w:bookmarkStart w:name="z731" w:id="930"/>
    <w:p>
      <w:pPr>
        <w:spacing w:after="0"/>
        <w:ind w:left="0"/>
        <w:jc w:val="both"/>
      </w:pPr>
      <w:r>
        <w:rPr>
          <w:rFonts w:ascii="Times New Roman"/>
          <w:b w:val="false"/>
          <w:i w:val="false"/>
          <w:color w:val="000000"/>
          <w:sz w:val="28"/>
        </w:rPr>
        <w:t>
      49. Банк обеспечивает наличие системы управленческой информации, включающей установление внутреннего порядка, определяющего состав и частоту отчетности по управлению операционным риском, представляемую различным получателям, ответственных лиц (подразделений) банка за подготовку и доведение информации до соответствующих получателей. Установленный внутренний порядок представления отчетности позволяет осуществлять превентивное управление операционным риском. Управленческая отчетность об операционном риске содержит:</w:t>
      </w:r>
    </w:p>
    <w:bookmarkEnd w:id="930"/>
    <w:bookmarkStart w:name="z732" w:id="931"/>
    <w:p>
      <w:pPr>
        <w:spacing w:after="0"/>
        <w:ind w:left="0"/>
        <w:jc w:val="both"/>
      </w:pPr>
      <w:r>
        <w:rPr>
          <w:rFonts w:ascii="Times New Roman"/>
          <w:b w:val="false"/>
          <w:i w:val="false"/>
          <w:color w:val="000000"/>
          <w:sz w:val="28"/>
        </w:rPr>
        <w:t>
      1) информацию о нарушениях установленных уровней риск-аппетита банка по операционному риску;</w:t>
      </w:r>
    </w:p>
    <w:bookmarkEnd w:id="931"/>
    <w:bookmarkStart w:name="z733" w:id="932"/>
    <w:p>
      <w:pPr>
        <w:spacing w:after="0"/>
        <w:ind w:left="0"/>
        <w:jc w:val="both"/>
      </w:pPr>
      <w:r>
        <w:rPr>
          <w:rFonts w:ascii="Times New Roman"/>
          <w:b w:val="false"/>
          <w:i w:val="false"/>
          <w:color w:val="000000"/>
          <w:sz w:val="28"/>
        </w:rPr>
        <w:t>
      2) сведения о существенных внутренних событиях операционного риска и убытков в разбивке по классификации операционного риска о размере ущерба с указанием причин, типов событий, последствий;</w:t>
      </w:r>
    </w:p>
    <w:bookmarkEnd w:id="932"/>
    <w:bookmarkStart w:name="z734" w:id="933"/>
    <w:p>
      <w:pPr>
        <w:spacing w:after="0"/>
        <w:ind w:left="0"/>
        <w:jc w:val="both"/>
      </w:pPr>
      <w:r>
        <w:rPr>
          <w:rFonts w:ascii="Times New Roman"/>
          <w:b w:val="false"/>
          <w:i w:val="false"/>
          <w:color w:val="000000"/>
          <w:sz w:val="28"/>
        </w:rPr>
        <w:t>
      3) сведения о существенных внешних событиях операционного риска для принятия решений;</w:t>
      </w:r>
    </w:p>
    <w:bookmarkEnd w:id="933"/>
    <w:bookmarkStart w:name="z735" w:id="934"/>
    <w:p>
      <w:pPr>
        <w:spacing w:after="0"/>
        <w:ind w:left="0"/>
        <w:jc w:val="both"/>
      </w:pPr>
      <w:r>
        <w:rPr>
          <w:rFonts w:ascii="Times New Roman"/>
          <w:b w:val="false"/>
          <w:i w:val="false"/>
          <w:color w:val="000000"/>
          <w:sz w:val="28"/>
        </w:rPr>
        <w:t>
      4) информацию о принимаемых корректирующих мерах по существенным событиям возникновения операционного риска и (или) анализ эффективности принятых мер;</w:t>
      </w:r>
    </w:p>
    <w:bookmarkEnd w:id="934"/>
    <w:bookmarkStart w:name="z736" w:id="935"/>
    <w:p>
      <w:pPr>
        <w:spacing w:after="0"/>
        <w:ind w:left="0"/>
        <w:jc w:val="both"/>
      </w:pPr>
      <w:r>
        <w:rPr>
          <w:rFonts w:ascii="Times New Roman"/>
          <w:b w:val="false"/>
          <w:i w:val="false"/>
          <w:color w:val="000000"/>
          <w:sz w:val="28"/>
        </w:rPr>
        <w:t>
      5) результаты самооценки операционного риска;</w:t>
      </w:r>
    </w:p>
    <w:bookmarkEnd w:id="935"/>
    <w:bookmarkStart w:name="z737" w:id="936"/>
    <w:p>
      <w:pPr>
        <w:spacing w:after="0"/>
        <w:ind w:left="0"/>
        <w:jc w:val="both"/>
      </w:pPr>
      <w:r>
        <w:rPr>
          <w:rFonts w:ascii="Times New Roman"/>
          <w:b w:val="false"/>
          <w:i w:val="false"/>
          <w:color w:val="000000"/>
          <w:sz w:val="28"/>
        </w:rPr>
        <w:t>
      6) результаты мониторинга ключевых индикаторов риска;</w:t>
      </w:r>
    </w:p>
    <w:bookmarkEnd w:id="936"/>
    <w:bookmarkStart w:name="z738" w:id="937"/>
    <w:p>
      <w:pPr>
        <w:spacing w:after="0"/>
        <w:ind w:left="0"/>
        <w:jc w:val="both"/>
      </w:pPr>
      <w:r>
        <w:rPr>
          <w:rFonts w:ascii="Times New Roman"/>
          <w:b w:val="false"/>
          <w:i w:val="false"/>
          <w:color w:val="000000"/>
          <w:sz w:val="28"/>
        </w:rPr>
        <w:t>
      7) результаты сценарного анализа;</w:t>
      </w:r>
    </w:p>
    <w:bookmarkEnd w:id="937"/>
    <w:bookmarkStart w:name="z739" w:id="938"/>
    <w:p>
      <w:pPr>
        <w:spacing w:after="0"/>
        <w:ind w:left="0"/>
        <w:jc w:val="both"/>
      </w:pPr>
      <w:r>
        <w:rPr>
          <w:rFonts w:ascii="Times New Roman"/>
          <w:b w:val="false"/>
          <w:i w:val="false"/>
          <w:color w:val="000000"/>
          <w:sz w:val="28"/>
        </w:rPr>
        <w:t>
      8) информацию о карте операционного риска.</w:t>
      </w:r>
    </w:p>
    <w:bookmarkEnd w:id="938"/>
    <w:bookmarkStart w:name="z740" w:id="939"/>
    <w:p>
      <w:pPr>
        <w:spacing w:after="0"/>
        <w:ind w:left="0"/>
        <w:jc w:val="both"/>
      </w:pPr>
      <w:r>
        <w:rPr>
          <w:rFonts w:ascii="Times New Roman"/>
          <w:b w:val="false"/>
          <w:i w:val="false"/>
          <w:color w:val="000000"/>
          <w:sz w:val="28"/>
        </w:rPr>
        <w:t>
      Управленческая отчетность содержит полную, достоверную, своевременную информацию. Периодичность отчетности отражает степень подверженности банка рискам, а также темпы и характер изменений в его деятельности.</w:t>
      </w:r>
    </w:p>
    <w:bookmarkEnd w:id="939"/>
    <w:bookmarkStart w:name="z741" w:id="940"/>
    <w:p>
      <w:pPr>
        <w:spacing w:after="0"/>
        <w:ind w:left="0"/>
        <w:jc w:val="both"/>
      </w:pPr>
      <w:r>
        <w:rPr>
          <w:rFonts w:ascii="Times New Roman"/>
          <w:b w:val="false"/>
          <w:i w:val="false"/>
          <w:color w:val="000000"/>
          <w:sz w:val="28"/>
        </w:rPr>
        <w:t>
      Процессы формирования управленческой отчетности об операционном риске периодически подвергаются анализу с целью постоянного совершенствования управления операционным риском и дальнейшего развития принципов, процедур и процессов управления операционным риском.</w:t>
      </w:r>
    </w:p>
    <w:bookmarkEnd w:id="940"/>
    <w:bookmarkStart w:name="z742" w:id="9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В целях выявления потенциальных рисков, возникающих в стрессовых ситуациях, банк на периодической основе (но не реже 1 (одного) раза в полгода) проводит стресс-тестирование для выявления источников потенциальной угрозы достаточности капитала. Стресс-тестирование проводится банком путем использования следующих методов (но не ограничиваясь ими):</w:t>
      </w:r>
    </w:p>
    <w:bookmarkEnd w:id="941"/>
    <w:bookmarkStart w:name="z5067" w:id="942"/>
    <w:p>
      <w:pPr>
        <w:spacing w:after="0"/>
        <w:ind w:left="0"/>
        <w:jc w:val="both"/>
      </w:pPr>
      <w:r>
        <w:rPr>
          <w:rFonts w:ascii="Times New Roman"/>
          <w:b w:val="false"/>
          <w:i w:val="false"/>
          <w:color w:val="000000"/>
          <w:sz w:val="28"/>
        </w:rPr>
        <w:t>
      1) сценарный анализ;</w:t>
      </w:r>
    </w:p>
    <w:bookmarkEnd w:id="942"/>
    <w:bookmarkStart w:name="z5068" w:id="943"/>
    <w:p>
      <w:pPr>
        <w:spacing w:after="0"/>
        <w:ind w:left="0"/>
        <w:jc w:val="both"/>
      </w:pPr>
      <w:r>
        <w:rPr>
          <w:rFonts w:ascii="Times New Roman"/>
          <w:b w:val="false"/>
          <w:i w:val="false"/>
          <w:color w:val="000000"/>
          <w:sz w:val="28"/>
        </w:rPr>
        <w:t>
      2) анализ чувствительности.</w:t>
      </w:r>
    </w:p>
    <w:bookmarkEnd w:id="943"/>
    <w:bookmarkStart w:name="z5069" w:id="944"/>
    <w:p>
      <w:pPr>
        <w:spacing w:after="0"/>
        <w:ind w:left="0"/>
        <w:jc w:val="both"/>
      </w:pPr>
      <w:r>
        <w:rPr>
          <w:rFonts w:ascii="Times New Roman"/>
          <w:b w:val="false"/>
          <w:i w:val="false"/>
          <w:color w:val="000000"/>
          <w:sz w:val="28"/>
        </w:rPr>
        <w:t>
      Процесс проведения стресс-тестирования включает следующее:</w:t>
      </w:r>
    </w:p>
    <w:bookmarkEnd w:id="944"/>
    <w:bookmarkStart w:name="z5070" w:id="945"/>
    <w:p>
      <w:pPr>
        <w:spacing w:after="0"/>
        <w:ind w:left="0"/>
        <w:jc w:val="both"/>
      </w:pPr>
      <w:r>
        <w:rPr>
          <w:rFonts w:ascii="Times New Roman"/>
          <w:b w:val="false"/>
          <w:i w:val="false"/>
          <w:color w:val="000000"/>
          <w:sz w:val="28"/>
        </w:rPr>
        <w:t>
      стресс-тестирование позволяет банку анализировать влияние стресс-сценариев на уровень достаточности капитала, оценивать уровень возникновения риска при изменении внутренней и внешней среды;</w:t>
      </w:r>
    </w:p>
    <w:bookmarkEnd w:id="945"/>
    <w:bookmarkStart w:name="z5071" w:id="946"/>
    <w:p>
      <w:pPr>
        <w:spacing w:after="0"/>
        <w:ind w:left="0"/>
        <w:jc w:val="both"/>
      </w:pPr>
      <w:r>
        <w:rPr>
          <w:rFonts w:ascii="Times New Roman"/>
          <w:b w:val="false"/>
          <w:i w:val="false"/>
          <w:color w:val="000000"/>
          <w:sz w:val="28"/>
        </w:rPr>
        <w:t>
      степень и частота проведения стресс-тестирования соответствует выбранной бизнес-модели, масштабу деятельности, видам и сложности операций, а также роли банка в финансовой системе. Банк располагает возможностью увеличения частоты проведения стресс-тестирований в ухудшающихся рыночных условиях или по требованию руководства банка;</w:t>
      </w:r>
    </w:p>
    <w:bookmarkEnd w:id="946"/>
    <w:bookmarkStart w:name="z5072" w:id="947"/>
    <w:p>
      <w:pPr>
        <w:spacing w:after="0"/>
        <w:ind w:left="0"/>
        <w:jc w:val="both"/>
      </w:pPr>
      <w:r>
        <w:rPr>
          <w:rFonts w:ascii="Times New Roman"/>
          <w:b w:val="false"/>
          <w:i w:val="false"/>
          <w:color w:val="000000"/>
          <w:sz w:val="28"/>
        </w:rPr>
        <w:t>
      совет директоров банка принимает активное участие в процессе стресс-тестирования в части утверждения процедур проведения стресс-тестирований, сценариев (в том числе рассматривает консервативные сценарии также в периоды экономического роста), оценки результатов и в результате принятия мер по минимизации выявленного в ходе стресс-тестирования риска капитала.</w:t>
      </w:r>
    </w:p>
    <w:bookmarkEnd w:id="947"/>
    <w:bookmarkStart w:name="z5073" w:id="948"/>
    <w:p>
      <w:pPr>
        <w:spacing w:after="0"/>
        <w:ind w:left="0"/>
        <w:jc w:val="both"/>
      </w:pPr>
      <w:r>
        <w:rPr>
          <w:rFonts w:ascii="Times New Roman"/>
          <w:b w:val="false"/>
          <w:i w:val="false"/>
          <w:color w:val="000000"/>
          <w:sz w:val="28"/>
        </w:rPr>
        <w:t>
      Банк при осуществлении стресс-тестирования использует, но не ограничиваясь, следующие сценарии стресс-тестирования:</w:t>
      </w:r>
    </w:p>
    <w:bookmarkEnd w:id="948"/>
    <w:bookmarkStart w:name="z5074" w:id="949"/>
    <w:p>
      <w:pPr>
        <w:spacing w:after="0"/>
        <w:ind w:left="0"/>
        <w:jc w:val="both"/>
      </w:pPr>
      <w:r>
        <w:rPr>
          <w:rFonts w:ascii="Times New Roman"/>
          <w:b w:val="false"/>
          <w:i w:val="false"/>
          <w:color w:val="000000"/>
          <w:sz w:val="28"/>
        </w:rPr>
        <w:t>
      общеэкономический сценарий, который основывается на оценке влияния снижения экономической конъюнктуры страны, включая спад экономического роста в целом и по отдельным отраслям экономики;</w:t>
      </w:r>
    </w:p>
    <w:bookmarkEnd w:id="949"/>
    <w:bookmarkStart w:name="z5075" w:id="950"/>
    <w:p>
      <w:pPr>
        <w:spacing w:after="0"/>
        <w:ind w:left="0"/>
        <w:jc w:val="both"/>
      </w:pPr>
      <w:r>
        <w:rPr>
          <w:rFonts w:ascii="Times New Roman"/>
          <w:b w:val="false"/>
          <w:i w:val="false"/>
          <w:color w:val="000000"/>
          <w:sz w:val="28"/>
        </w:rPr>
        <w:t>
      сценарий, специфичный для бизнеса банка, который основывается на оценке влияния локальных стрессовых факторов, в том числе связанных с особенностями кредитной деятельности банка и структурой его кредитного портфеля;</w:t>
      </w:r>
    </w:p>
    <w:bookmarkEnd w:id="950"/>
    <w:bookmarkStart w:name="z5076" w:id="951"/>
    <w:p>
      <w:pPr>
        <w:spacing w:after="0"/>
        <w:ind w:left="0"/>
        <w:jc w:val="both"/>
      </w:pPr>
      <w:r>
        <w:rPr>
          <w:rFonts w:ascii="Times New Roman"/>
          <w:b w:val="false"/>
          <w:i w:val="false"/>
          <w:color w:val="000000"/>
          <w:sz w:val="28"/>
        </w:rPr>
        <w:t>
      сценарий, учитывающий вероятность возникновения чрезвычайных ситуаций.</w:t>
      </w:r>
    </w:p>
    <w:bookmarkEnd w:id="951"/>
    <w:bookmarkStart w:name="z5077" w:id="952"/>
    <w:p>
      <w:pPr>
        <w:spacing w:after="0"/>
        <w:ind w:left="0"/>
        <w:jc w:val="both"/>
      </w:pPr>
      <w:r>
        <w:rPr>
          <w:rFonts w:ascii="Times New Roman"/>
          <w:b w:val="false"/>
          <w:i w:val="false"/>
          <w:color w:val="000000"/>
          <w:sz w:val="28"/>
        </w:rPr>
        <w:t>
      Банк разрабатывает сценарии стресс-тестирования на основе консервативных, но потенциально реализуемых негативных изменений внешних и внутренних показателей, влияющих на снижение уровня достаточности капитала.</w:t>
      </w:r>
    </w:p>
    <w:bookmarkEnd w:id="952"/>
    <w:bookmarkStart w:name="z5078" w:id="953"/>
    <w:p>
      <w:pPr>
        <w:spacing w:after="0"/>
        <w:ind w:left="0"/>
        <w:jc w:val="both"/>
      </w:pPr>
      <w:r>
        <w:rPr>
          <w:rFonts w:ascii="Times New Roman"/>
          <w:b w:val="false"/>
          <w:i w:val="false"/>
          <w:color w:val="000000"/>
          <w:sz w:val="28"/>
        </w:rPr>
        <w:t>
      Совет директоров банка утверждает сценарии стресс-тестирования и принятые допущения, а также результаты стресс-тестирования. Обоснованность выбора сценариев и соответствующих предположений банка документируется и рассматривается вместе с результатами стресс-теста.</w:t>
      </w:r>
    </w:p>
    <w:bookmarkEnd w:id="953"/>
    <w:bookmarkStart w:name="z5079" w:id="954"/>
    <w:p>
      <w:pPr>
        <w:spacing w:after="0"/>
        <w:ind w:left="0"/>
        <w:jc w:val="both"/>
      </w:pPr>
      <w:r>
        <w:rPr>
          <w:rFonts w:ascii="Times New Roman"/>
          <w:b w:val="false"/>
          <w:i w:val="false"/>
          <w:color w:val="000000"/>
          <w:sz w:val="28"/>
        </w:rPr>
        <w:t>
      При определении стрессовых сценариев и чувствительности банк использует широкий круг информации, включая исторические и гипотетические стрессовые ситуации, в том числе находящиеся вне пределов обычного диапазона рисков и прогнозов.</w:t>
      </w:r>
    </w:p>
    <w:bookmarkEnd w:id="954"/>
    <w:bookmarkStart w:name="z5080" w:id="955"/>
    <w:p>
      <w:pPr>
        <w:spacing w:after="0"/>
        <w:ind w:left="0"/>
        <w:jc w:val="both"/>
      </w:pPr>
      <w:r>
        <w:rPr>
          <w:rFonts w:ascii="Times New Roman"/>
          <w:b w:val="false"/>
          <w:i w:val="false"/>
          <w:color w:val="000000"/>
          <w:sz w:val="28"/>
        </w:rPr>
        <w:t>
      Помимо возможности применения применяемых регулятором сценариев стрессовых ситуаций, банк стремится использовать наиболее применимые стрессовые ситуации, которые соответствуют его индивидуальным характеристикам, но не ограничиваясь ими.</w:t>
      </w:r>
    </w:p>
    <w:bookmarkEnd w:id="955"/>
    <w:bookmarkStart w:name="z5081" w:id="956"/>
    <w:p>
      <w:pPr>
        <w:spacing w:after="0"/>
        <w:ind w:left="0"/>
        <w:jc w:val="both"/>
      </w:pPr>
      <w:r>
        <w:rPr>
          <w:rFonts w:ascii="Times New Roman"/>
          <w:b w:val="false"/>
          <w:i w:val="false"/>
          <w:color w:val="000000"/>
          <w:sz w:val="28"/>
        </w:rPr>
        <w:t>
      Совет директоров банка регулярно пересматривает сценарии стресс-тестирования на предмет значительных изменений. При необходимости изменения сценариев стресс-тестирования проводится промежуточная оценка.</w:t>
      </w:r>
    </w:p>
    <w:bookmarkEnd w:id="956"/>
    <w:bookmarkStart w:name="z5082" w:id="957"/>
    <w:p>
      <w:pPr>
        <w:spacing w:after="0"/>
        <w:ind w:left="0"/>
        <w:jc w:val="both"/>
      </w:pPr>
      <w:r>
        <w:rPr>
          <w:rFonts w:ascii="Times New Roman"/>
          <w:b w:val="false"/>
          <w:i w:val="false"/>
          <w:color w:val="000000"/>
          <w:sz w:val="28"/>
        </w:rPr>
        <w:t>
      При разработке сценариев и допущений стресс-тестирования банк руководствуется следующим:</w:t>
      </w:r>
    </w:p>
    <w:bookmarkEnd w:id="957"/>
    <w:bookmarkStart w:name="z5083" w:id="958"/>
    <w:p>
      <w:pPr>
        <w:spacing w:after="0"/>
        <w:ind w:left="0"/>
        <w:jc w:val="both"/>
      </w:pPr>
      <w:r>
        <w:rPr>
          <w:rFonts w:ascii="Times New Roman"/>
          <w:b w:val="false"/>
          <w:i w:val="false"/>
          <w:color w:val="000000"/>
          <w:sz w:val="28"/>
        </w:rPr>
        <w:t>
      сценарии включают все существенные риски, которым потенциально подвержен банк;</w:t>
      </w:r>
    </w:p>
    <w:bookmarkEnd w:id="958"/>
    <w:bookmarkStart w:name="z5084" w:id="959"/>
    <w:p>
      <w:pPr>
        <w:spacing w:after="0"/>
        <w:ind w:left="0"/>
        <w:jc w:val="both"/>
      </w:pPr>
      <w:r>
        <w:rPr>
          <w:rFonts w:ascii="Times New Roman"/>
          <w:b w:val="false"/>
          <w:i w:val="false"/>
          <w:color w:val="000000"/>
          <w:sz w:val="28"/>
        </w:rPr>
        <w:t>
      при стресс-тестировании банк рассматривает взаимосвязь различных видов рисков;</w:t>
      </w:r>
    </w:p>
    <w:bookmarkEnd w:id="959"/>
    <w:bookmarkStart w:name="z5085" w:id="960"/>
    <w:p>
      <w:pPr>
        <w:spacing w:after="0"/>
        <w:ind w:left="0"/>
        <w:jc w:val="both"/>
      </w:pPr>
      <w:r>
        <w:rPr>
          <w:rFonts w:ascii="Times New Roman"/>
          <w:b w:val="false"/>
          <w:i w:val="false"/>
          <w:color w:val="000000"/>
          <w:sz w:val="28"/>
        </w:rPr>
        <w:t>
      банк придерживается консервативного подхода при определении допущений стресс-тестирования. Основываясь на типе и степени тяжести сценария, банк учитывает уместность ряда допущений по отношению к его деятельности;</w:t>
      </w:r>
    </w:p>
    <w:bookmarkEnd w:id="960"/>
    <w:bookmarkStart w:name="z5086" w:id="961"/>
    <w:p>
      <w:pPr>
        <w:spacing w:after="0"/>
        <w:ind w:left="0"/>
        <w:jc w:val="both"/>
      </w:pPr>
      <w:r>
        <w:rPr>
          <w:rFonts w:ascii="Times New Roman"/>
          <w:b w:val="false"/>
          <w:i w:val="false"/>
          <w:color w:val="000000"/>
          <w:sz w:val="28"/>
        </w:rPr>
        <w:t>
      подходы и модели стресс-тестирования являются статистически и эконометрически обоснованными;</w:t>
      </w:r>
    </w:p>
    <w:bookmarkEnd w:id="961"/>
    <w:bookmarkStart w:name="z5087" w:id="962"/>
    <w:p>
      <w:pPr>
        <w:spacing w:after="0"/>
        <w:ind w:left="0"/>
        <w:jc w:val="both"/>
      </w:pPr>
      <w:r>
        <w:rPr>
          <w:rFonts w:ascii="Times New Roman"/>
          <w:b w:val="false"/>
          <w:i w:val="false"/>
          <w:color w:val="000000"/>
          <w:sz w:val="28"/>
        </w:rPr>
        <w:t>
      внутренние модели банков по отдельным видам рисков адаптируются под цели стресс-тестирования;</w:t>
      </w:r>
    </w:p>
    <w:bookmarkEnd w:id="962"/>
    <w:bookmarkStart w:name="z5088" w:id="963"/>
    <w:p>
      <w:pPr>
        <w:spacing w:after="0"/>
        <w:ind w:left="0"/>
        <w:jc w:val="both"/>
      </w:pPr>
      <w:r>
        <w:rPr>
          <w:rFonts w:ascii="Times New Roman"/>
          <w:b w:val="false"/>
          <w:i w:val="false"/>
          <w:color w:val="000000"/>
          <w:sz w:val="28"/>
        </w:rPr>
        <w:t>
      банк рассматривает краткосрочные и затяжные, а также идиосинкразические и рыночные сценарии, вне зависимости от того насколько высок уровень достаточности капитала на текущий момент, в том числе:</w:t>
      </w:r>
    </w:p>
    <w:bookmarkEnd w:id="963"/>
    <w:bookmarkStart w:name="z5089" w:id="964"/>
    <w:p>
      <w:pPr>
        <w:spacing w:after="0"/>
        <w:ind w:left="0"/>
        <w:jc w:val="both"/>
      </w:pPr>
      <w:r>
        <w:rPr>
          <w:rFonts w:ascii="Times New Roman"/>
          <w:b w:val="false"/>
          <w:i w:val="false"/>
          <w:color w:val="000000"/>
          <w:sz w:val="28"/>
        </w:rPr>
        <w:t>
      отсутствие доступности рынков капитала;</w:t>
      </w:r>
    </w:p>
    <w:bookmarkEnd w:id="964"/>
    <w:bookmarkStart w:name="z5090" w:id="965"/>
    <w:p>
      <w:pPr>
        <w:spacing w:after="0"/>
        <w:ind w:left="0"/>
        <w:jc w:val="both"/>
      </w:pPr>
      <w:r>
        <w:rPr>
          <w:rFonts w:ascii="Times New Roman"/>
          <w:b w:val="false"/>
          <w:i w:val="false"/>
          <w:color w:val="000000"/>
          <w:sz w:val="28"/>
        </w:rPr>
        <w:t>
      снижение стоимости энергоресурсов;</w:t>
      </w:r>
    </w:p>
    <w:bookmarkEnd w:id="965"/>
    <w:bookmarkStart w:name="z5091" w:id="966"/>
    <w:p>
      <w:pPr>
        <w:spacing w:after="0"/>
        <w:ind w:left="0"/>
        <w:jc w:val="both"/>
      </w:pPr>
      <w:r>
        <w:rPr>
          <w:rFonts w:ascii="Times New Roman"/>
          <w:b w:val="false"/>
          <w:i w:val="false"/>
          <w:color w:val="000000"/>
          <w:sz w:val="28"/>
        </w:rPr>
        <w:t>
      ослабление курса национальной валюты;</w:t>
      </w:r>
    </w:p>
    <w:bookmarkEnd w:id="966"/>
    <w:bookmarkStart w:name="z5092" w:id="967"/>
    <w:p>
      <w:pPr>
        <w:spacing w:after="0"/>
        <w:ind w:left="0"/>
        <w:jc w:val="both"/>
      </w:pPr>
      <w:r>
        <w:rPr>
          <w:rFonts w:ascii="Times New Roman"/>
          <w:b w:val="false"/>
          <w:i w:val="false"/>
          <w:color w:val="000000"/>
          <w:sz w:val="28"/>
        </w:rPr>
        <w:t>
      кризис рынка недвижимости;</w:t>
      </w:r>
    </w:p>
    <w:bookmarkEnd w:id="967"/>
    <w:bookmarkStart w:name="z5093" w:id="968"/>
    <w:p>
      <w:pPr>
        <w:spacing w:after="0"/>
        <w:ind w:left="0"/>
        <w:jc w:val="both"/>
      </w:pPr>
      <w:r>
        <w:rPr>
          <w:rFonts w:ascii="Times New Roman"/>
          <w:b w:val="false"/>
          <w:i w:val="false"/>
          <w:color w:val="000000"/>
          <w:sz w:val="28"/>
        </w:rPr>
        <w:t>
      изменение ставок;</w:t>
      </w:r>
    </w:p>
    <w:bookmarkEnd w:id="968"/>
    <w:bookmarkStart w:name="z5094" w:id="969"/>
    <w:p>
      <w:pPr>
        <w:spacing w:after="0"/>
        <w:ind w:left="0"/>
        <w:jc w:val="both"/>
      </w:pPr>
      <w:r>
        <w:rPr>
          <w:rFonts w:ascii="Times New Roman"/>
          <w:b w:val="false"/>
          <w:i w:val="false"/>
          <w:color w:val="000000"/>
          <w:sz w:val="28"/>
        </w:rPr>
        <w:t>
      изменение валового внутреннего продукта;</w:t>
      </w:r>
    </w:p>
    <w:bookmarkEnd w:id="969"/>
    <w:bookmarkStart w:name="z5095" w:id="970"/>
    <w:p>
      <w:pPr>
        <w:spacing w:after="0"/>
        <w:ind w:left="0"/>
        <w:jc w:val="both"/>
      </w:pPr>
      <w:r>
        <w:rPr>
          <w:rFonts w:ascii="Times New Roman"/>
          <w:b w:val="false"/>
          <w:i w:val="false"/>
          <w:color w:val="000000"/>
          <w:sz w:val="28"/>
        </w:rPr>
        <w:t>
      кризис сельскохозяйственного сектора;</w:t>
      </w:r>
    </w:p>
    <w:bookmarkEnd w:id="970"/>
    <w:bookmarkStart w:name="z5096" w:id="971"/>
    <w:p>
      <w:pPr>
        <w:spacing w:after="0"/>
        <w:ind w:left="0"/>
        <w:jc w:val="both"/>
      </w:pPr>
      <w:r>
        <w:rPr>
          <w:rFonts w:ascii="Times New Roman"/>
          <w:b w:val="false"/>
          <w:i w:val="false"/>
          <w:color w:val="000000"/>
          <w:sz w:val="28"/>
        </w:rPr>
        <w:t>
      рост инфляционных ожиданий;</w:t>
      </w:r>
    </w:p>
    <w:bookmarkEnd w:id="971"/>
    <w:bookmarkStart w:name="z5097" w:id="972"/>
    <w:p>
      <w:pPr>
        <w:spacing w:after="0"/>
        <w:ind w:left="0"/>
        <w:jc w:val="both"/>
      </w:pPr>
      <w:r>
        <w:rPr>
          <w:rFonts w:ascii="Times New Roman"/>
          <w:b w:val="false"/>
          <w:i w:val="false"/>
          <w:color w:val="000000"/>
          <w:sz w:val="28"/>
        </w:rPr>
        <w:t>
      повышение уровня безработицы и снижение доходов населения;</w:t>
      </w:r>
    </w:p>
    <w:bookmarkEnd w:id="972"/>
    <w:bookmarkStart w:name="z5098" w:id="973"/>
    <w:p>
      <w:pPr>
        <w:spacing w:after="0"/>
        <w:ind w:left="0"/>
        <w:jc w:val="both"/>
      </w:pPr>
      <w:r>
        <w:rPr>
          <w:rFonts w:ascii="Times New Roman"/>
          <w:b w:val="false"/>
          <w:i w:val="false"/>
          <w:color w:val="000000"/>
          <w:sz w:val="28"/>
        </w:rPr>
        <w:t>
      снижение рыночной стоимости активов;</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двенадцатый части 9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десятая пункта 50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5101" w:id="974"/>
    <w:p>
      <w:pPr>
        <w:spacing w:after="0"/>
        <w:ind w:left="0"/>
        <w:jc w:val="both"/>
      </w:pPr>
      <w:r>
        <w:rPr>
          <w:rFonts w:ascii="Times New Roman"/>
          <w:b w:val="false"/>
          <w:i w:val="false"/>
          <w:color w:val="000000"/>
          <w:sz w:val="28"/>
        </w:rPr>
        <w:t>
      Результаты стресс-теста и прогнозируемые риски, а также последующие действия по минимизации негативного влияния сообщаются и обсуждаются с советом директоров банка и подразделениями, участвующими в процессе управления риском ликвидности. Совет директоров банка интегрирует результаты процесса стресс-тестирования в процесс стратегического и бюджетного планирования банка. Результаты стресс-тестирования используются при установлении внутренних лимитов.</w:t>
      </w:r>
    </w:p>
    <w:bookmarkEnd w:id="974"/>
    <w:bookmarkStart w:name="z5102" w:id="975"/>
    <w:p>
      <w:pPr>
        <w:spacing w:after="0"/>
        <w:ind w:left="0"/>
        <w:jc w:val="both"/>
      </w:pPr>
      <w:r>
        <w:rPr>
          <w:rFonts w:ascii="Times New Roman"/>
          <w:b w:val="false"/>
          <w:i w:val="false"/>
          <w:color w:val="000000"/>
          <w:sz w:val="28"/>
        </w:rPr>
        <w:t>
      Совет директоров банка учитывает результаты стресс-тестирования в процесс поддержания достаточности капитала в случае непредвиденных обстоятельств, в том числе в целях устранения недостатков процесса.</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976"/>
    <w:p>
      <w:pPr>
        <w:spacing w:after="0"/>
        <w:ind w:left="0"/>
        <w:jc w:val="both"/>
      </w:pPr>
      <w:r>
        <w:rPr>
          <w:rFonts w:ascii="Times New Roman"/>
          <w:b w:val="false"/>
          <w:i w:val="false"/>
          <w:color w:val="000000"/>
          <w:sz w:val="28"/>
        </w:rPr>
        <w:t>
      51. Банк обеспечивает наличие процедур разработки, одобрения и внедрения новых продуктов, видов деятельности, процессов и систем или внесения значительных изменений в действующие продукты, виды деятельности, процессы и системы, обеспечивающих:</w:t>
      </w:r>
    </w:p>
    <w:bookmarkEnd w:id="976"/>
    <w:bookmarkStart w:name="z774" w:id="977"/>
    <w:p>
      <w:pPr>
        <w:spacing w:after="0"/>
        <w:ind w:left="0"/>
        <w:jc w:val="both"/>
      </w:pPr>
      <w:r>
        <w:rPr>
          <w:rFonts w:ascii="Times New Roman"/>
          <w:b w:val="false"/>
          <w:i w:val="false"/>
          <w:color w:val="000000"/>
          <w:sz w:val="28"/>
        </w:rPr>
        <w:t>
      1) оценку рисков, присущих новым продуктам, видам деятельности, процессам и системам или в случае внесения значительных изменений в действующие продукты, виды деятельности, процессы и системы;</w:t>
      </w:r>
    </w:p>
    <w:bookmarkEnd w:id="977"/>
    <w:bookmarkStart w:name="z775" w:id="978"/>
    <w:p>
      <w:pPr>
        <w:spacing w:after="0"/>
        <w:ind w:left="0"/>
        <w:jc w:val="both"/>
      </w:pPr>
      <w:r>
        <w:rPr>
          <w:rFonts w:ascii="Times New Roman"/>
          <w:b w:val="false"/>
          <w:i w:val="false"/>
          <w:color w:val="000000"/>
          <w:sz w:val="28"/>
        </w:rPr>
        <w:t>
      2) осуществление анализа затрат и выгод от внедрения;</w:t>
      </w:r>
    </w:p>
    <w:bookmarkEnd w:id="978"/>
    <w:bookmarkStart w:name="z776" w:id="979"/>
    <w:p>
      <w:pPr>
        <w:spacing w:after="0"/>
        <w:ind w:left="0"/>
        <w:jc w:val="both"/>
      </w:pPr>
      <w:r>
        <w:rPr>
          <w:rFonts w:ascii="Times New Roman"/>
          <w:b w:val="false"/>
          <w:i w:val="false"/>
          <w:color w:val="000000"/>
          <w:sz w:val="28"/>
        </w:rPr>
        <w:t>
      3) оценку изменений уровней риск-аппетита банка и внесение соответствующих изменений;</w:t>
      </w:r>
    </w:p>
    <w:bookmarkEnd w:id="979"/>
    <w:bookmarkStart w:name="z777" w:id="980"/>
    <w:p>
      <w:pPr>
        <w:spacing w:after="0"/>
        <w:ind w:left="0"/>
        <w:jc w:val="both"/>
      </w:pPr>
      <w:r>
        <w:rPr>
          <w:rFonts w:ascii="Times New Roman"/>
          <w:b w:val="false"/>
          <w:i w:val="false"/>
          <w:color w:val="000000"/>
          <w:sz w:val="28"/>
        </w:rPr>
        <w:t>
      4) наличие необходимых механизмов контроля, процесса управления рисками;</w:t>
      </w:r>
    </w:p>
    <w:bookmarkEnd w:id="980"/>
    <w:bookmarkStart w:name="z778" w:id="981"/>
    <w:p>
      <w:pPr>
        <w:spacing w:after="0"/>
        <w:ind w:left="0"/>
        <w:jc w:val="both"/>
      </w:pPr>
      <w:r>
        <w:rPr>
          <w:rFonts w:ascii="Times New Roman"/>
          <w:b w:val="false"/>
          <w:i w:val="false"/>
          <w:color w:val="000000"/>
          <w:sz w:val="28"/>
        </w:rPr>
        <w:t>
      5) наличие информации об уровне остаточных рисков;</w:t>
      </w:r>
    </w:p>
    <w:bookmarkEnd w:id="981"/>
    <w:bookmarkStart w:name="z779" w:id="982"/>
    <w:p>
      <w:pPr>
        <w:spacing w:after="0"/>
        <w:ind w:left="0"/>
        <w:jc w:val="both"/>
      </w:pPr>
      <w:r>
        <w:rPr>
          <w:rFonts w:ascii="Times New Roman"/>
          <w:b w:val="false"/>
          <w:i w:val="false"/>
          <w:color w:val="000000"/>
          <w:sz w:val="28"/>
        </w:rPr>
        <w:t>
      6) наличие процедур и методов для выявления, измерения, мониторинга и контроля рисков, присущих новым продуктам, видам деятельности, процессам и системам или в случае внесения значительных изменений в действующие продукты, виды деятельности, процессы и системы;</w:t>
      </w:r>
    </w:p>
    <w:bookmarkEnd w:id="982"/>
    <w:bookmarkStart w:name="z780" w:id="983"/>
    <w:p>
      <w:pPr>
        <w:spacing w:after="0"/>
        <w:ind w:left="0"/>
        <w:jc w:val="both"/>
      </w:pPr>
      <w:r>
        <w:rPr>
          <w:rFonts w:ascii="Times New Roman"/>
          <w:b w:val="false"/>
          <w:i w:val="false"/>
          <w:color w:val="000000"/>
          <w:sz w:val="28"/>
        </w:rPr>
        <w:t>
      7) оценку возможностей банка по осуществлению инвестиций в человеческие ресурсы и технологическую инфраструктуру банка перед внедрением новых продуктов, видов деятельности, процессов и систем или в случае внесения значительных изменений в действующие продукты, виды деятельности, процессы и системы.</w:t>
      </w:r>
    </w:p>
    <w:bookmarkEnd w:id="983"/>
    <w:bookmarkStart w:name="z781" w:id="984"/>
    <w:p>
      <w:pPr>
        <w:spacing w:after="0"/>
        <w:ind w:left="0"/>
        <w:jc w:val="both"/>
      </w:pPr>
      <w:r>
        <w:rPr>
          <w:rFonts w:ascii="Times New Roman"/>
          <w:b w:val="false"/>
          <w:i w:val="false"/>
          <w:color w:val="000000"/>
          <w:sz w:val="28"/>
        </w:rPr>
        <w:t>
      52. Ежегодно совет директоров банка проводит оценку достаточности капитала на основе результатов, выявленных в рамках внутреннего процесса оценки достаточности собственного капитала и иной информации, доступной совету директоров банка.</w:t>
      </w:r>
    </w:p>
    <w:bookmarkEnd w:id="984"/>
    <w:bookmarkStart w:name="z782" w:id="985"/>
    <w:p>
      <w:pPr>
        <w:spacing w:after="0"/>
        <w:ind w:left="0"/>
        <w:jc w:val="both"/>
      </w:pPr>
      <w:r>
        <w:rPr>
          <w:rFonts w:ascii="Times New Roman"/>
          <w:b w:val="false"/>
          <w:i w:val="false"/>
          <w:color w:val="000000"/>
          <w:sz w:val="28"/>
        </w:rPr>
        <w:t>
      Внутренний процесс оценки достаточности капитала подлежит непрерывному обзору, как количественных, так и качественных показателей, включая применение его результатов, подходов к стресс-тестированию, выявление рисков и процесс сбора информации, валидацию моделей оценки рисков. Обзор проводится в рамках 3 (трех) линий защиты, исходя из их роли в ВПОДК. Обзор способствует своевременному внесению изменений при изменении внутренних и внешних факторов.</w:t>
      </w:r>
    </w:p>
    <w:bookmarkEnd w:id="985"/>
    <w:bookmarkStart w:name="z783" w:id="986"/>
    <w:p>
      <w:pPr>
        <w:spacing w:after="0"/>
        <w:ind w:left="0"/>
        <w:jc w:val="left"/>
      </w:pPr>
      <w:r>
        <w:rPr>
          <w:rFonts w:ascii="Times New Roman"/>
          <w:b/>
          <w:i w:val="false"/>
          <w:color w:val="000000"/>
        </w:rPr>
        <w:t xml:space="preserve"> Глава 6. Внутренний процесс оценки достаточности ликвидности</w:t>
      </w:r>
    </w:p>
    <w:bookmarkEnd w:id="986"/>
    <w:bookmarkStart w:name="z784" w:id="987"/>
    <w:p>
      <w:pPr>
        <w:spacing w:after="0"/>
        <w:ind w:left="0"/>
        <w:jc w:val="both"/>
      </w:pPr>
      <w:r>
        <w:rPr>
          <w:rFonts w:ascii="Times New Roman"/>
          <w:b w:val="false"/>
          <w:i w:val="false"/>
          <w:color w:val="000000"/>
          <w:sz w:val="28"/>
        </w:rPr>
        <w:t>
      53. Совет директоров утверждает внутренний документ банка, регламентирующий основные подходы и принципы ВПОДЛ и содержащий следующие разделы:</w:t>
      </w:r>
    </w:p>
    <w:bookmarkEnd w:id="987"/>
    <w:bookmarkStart w:name="z785" w:id="988"/>
    <w:p>
      <w:pPr>
        <w:spacing w:after="0"/>
        <w:ind w:left="0"/>
        <w:jc w:val="both"/>
      </w:pPr>
      <w:r>
        <w:rPr>
          <w:rFonts w:ascii="Times New Roman"/>
          <w:b w:val="false"/>
          <w:i w:val="false"/>
          <w:color w:val="000000"/>
          <w:sz w:val="28"/>
        </w:rPr>
        <w:t>
      1) описание организационной структуры ВПОДЛ;</w:t>
      </w:r>
    </w:p>
    <w:bookmarkEnd w:id="988"/>
    <w:bookmarkStart w:name="z786" w:id="989"/>
    <w:p>
      <w:pPr>
        <w:spacing w:after="0"/>
        <w:ind w:left="0"/>
        <w:jc w:val="both"/>
      </w:pPr>
      <w:r>
        <w:rPr>
          <w:rFonts w:ascii="Times New Roman"/>
          <w:b w:val="false"/>
          <w:i w:val="false"/>
          <w:color w:val="000000"/>
          <w:sz w:val="28"/>
        </w:rPr>
        <w:t>
      2) описание стратегии риск-аппетита;</w:t>
      </w:r>
    </w:p>
    <w:bookmarkEnd w:id="989"/>
    <w:bookmarkStart w:name="z787" w:id="990"/>
    <w:p>
      <w:pPr>
        <w:spacing w:after="0"/>
        <w:ind w:left="0"/>
        <w:jc w:val="both"/>
      </w:pPr>
      <w:r>
        <w:rPr>
          <w:rFonts w:ascii="Times New Roman"/>
          <w:b w:val="false"/>
          <w:i w:val="false"/>
          <w:color w:val="000000"/>
          <w:sz w:val="28"/>
        </w:rPr>
        <w:t>
      3) организация управления риском ликвидности и фондированием, включая ежедневный риск ликвидности и разрывы ликвидности;</w:t>
      </w:r>
    </w:p>
    <w:bookmarkEnd w:id="990"/>
    <w:bookmarkStart w:name="z788" w:id="991"/>
    <w:p>
      <w:pPr>
        <w:spacing w:after="0"/>
        <w:ind w:left="0"/>
        <w:jc w:val="both"/>
      </w:pPr>
      <w:r>
        <w:rPr>
          <w:rFonts w:ascii="Times New Roman"/>
          <w:b w:val="false"/>
          <w:i w:val="false"/>
          <w:color w:val="000000"/>
          <w:sz w:val="28"/>
        </w:rPr>
        <w:t>
      4) описание процесса интеграции управления риском ликвидности в процесс утверждения новых продуктов и видов деятельности;</w:t>
      </w:r>
    </w:p>
    <w:bookmarkEnd w:id="991"/>
    <w:bookmarkStart w:name="z789" w:id="992"/>
    <w:p>
      <w:pPr>
        <w:spacing w:after="0"/>
        <w:ind w:left="0"/>
        <w:jc w:val="both"/>
      </w:pPr>
      <w:r>
        <w:rPr>
          <w:rFonts w:ascii="Times New Roman"/>
          <w:b w:val="false"/>
          <w:i w:val="false"/>
          <w:color w:val="000000"/>
          <w:sz w:val="28"/>
        </w:rPr>
        <w:t>
      5) обзор стратегии фондирования и плана финансирования на случай непредвиденных обстоятельств с ликвидностью;</w:t>
      </w:r>
    </w:p>
    <w:bookmarkEnd w:id="992"/>
    <w:bookmarkStart w:name="z790" w:id="993"/>
    <w:p>
      <w:pPr>
        <w:spacing w:after="0"/>
        <w:ind w:left="0"/>
        <w:jc w:val="both"/>
      </w:pPr>
      <w:r>
        <w:rPr>
          <w:rFonts w:ascii="Times New Roman"/>
          <w:b w:val="false"/>
          <w:i w:val="false"/>
          <w:color w:val="000000"/>
          <w:sz w:val="28"/>
        </w:rPr>
        <w:t>
      6) организация управления буферами ликвидности и залоговым обеспечением;</w:t>
      </w:r>
    </w:p>
    <w:bookmarkEnd w:id="993"/>
    <w:bookmarkStart w:name="z791" w:id="994"/>
    <w:p>
      <w:pPr>
        <w:spacing w:after="0"/>
        <w:ind w:left="0"/>
        <w:jc w:val="both"/>
      </w:pPr>
      <w:r>
        <w:rPr>
          <w:rFonts w:ascii="Times New Roman"/>
          <w:b w:val="false"/>
          <w:i w:val="false"/>
          <w:color w:val="000000"/>
          <w:sz w:val="28"/>
        </w:rPr>
        <w:t>
      7) организация процедур стресс-тестирования;</w:t>
      </w:r>
    </w:p>
    <w:bookmarkEnd w:id="994"/>
    <w:bookmarkStart w:name="z792" w:id="995"/>
    <w:p>
      <w:pPr>
        <w:spacing w:after="0"/>
        <w:ind w:left="0"/>
        <w:jc w:val="both"/>
      </w:pPr>
      <w:r>
        <w:rPr>
          <w:rFonts w:ascii="Times New Roman"/>
          <w:b w:val="false"/>
          <w:i w:val="false"/>
          <w:color w:val="000000"/>
          <w:sz w:val="28"/>
        </w:rPr>
        <w:t>
      8) организация процедур самооценки внутреннего процесса оценки достаточности ликвидности.</w:t>
      </w:r>
    </w:p>
    <w:bookmarkEnd w:id="995"/>
    <w:bookmarkStart w:name="z793" w:id="9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Описание организационной структуры ВПОДЛ содержит перечень участников ВПОДЛ с указанием ответственности коллегиальных органов банка и подразделений, участвующих в реализации процессов управления ликвидности и риском ликвидности, в том числе:</w:t>
      </w:r>
    </w:p>
    <w:bookmarkEnd w:id="996"/>
    <w:bookmarkStart w:name="z2802" w:id="997"/>
    <w:p>
      <w:pPr>
        <w:spacing w:after="0"/>
        <w:ind w:left="0"/>
        <w:jc w:val="both"/>
      </w:pPr>
      <w:r>
        <w:rPr>
          <w:rFonts w:ascii="Times New Roman"/>
          <w:b w:val="false"/>
          <w:i w:val="false"/>
          <w:color w:val="000000"/>
          <w:sz w:val="28"/>
        </w:rPr>
        <w:t>
      1) совет директоров банка отвечает за управление риском ликвидности и определение уровня риск-аппетита. Совет директоров банка утверждает отчет по соблюдению ВПОДК и ВПОДЛ не позднее 30 апреля года, следующего за отчетным годом;</w:t>
      </w:r>
    </w:p>
    <w:bookmarkEnd w:id="997"/>
    <w:bookmarkStart w:name="z2803" w:id="998"/>
    <w:p>
      <w:pPr>
        <w:spacing w:after="0"/>
        <w:ind w:left="0"/>
        <w:jc w:val="both"/>
      </w:pPr>
      <w:r>
        <w:rPr>
          <w:rFonts w:ascii="Times New Roman"/>
          <w:b w:val="false"/>
          <w:i w:val="false"/>
          <w:color w:val="000000"/>
          <w:sz w:val="28"/>
        </w:rPr>
        <w:t>
      2) комитет по вопросам управления рисками отвечает за разработку политик и процедур в области управления ликвидностью в рамках уровня риск-аппетита, установленного советом директоров. Помимо этого, комитет по вопросам управления рисками периодически уведомляет совет директоров банка о соблюдении риск-аппетита и существенных изменениях уровня ликвидности;</w:t>
      </w:r>
    </w:p>
    <w:bookmarkEnd w:id="998"/>
    <w:bookmarkStart w:name="z2804" w:id="999"/>
    <w:p>
      <w:pPr>
        <w:spacing w:after="0"/>
        <w:ind w:left="0"/>
        <w:jc w:val="both"/>
      </w:pPr>
      <w:r>
        <w:rPr>
          <w:rFonts w:ascii="Times New Roman"/>
          <w:b w:val="false"/>
          <w:i w:val="false"/>
          <w:color w:val="000000"/>
          <w:sz w:val="28"/>
        </w:rPr>
        <w:t>
      3) подразделение (подразделения) лица, на которые (которых) возложены функции внутреннего контроля, осуществляет (осуществляют) проверку соблюдения процедур ВПОДЛ и доводит (доводят) результаты до сведения совета директоров банка;</w:t>
      </w:r>
    </w:p>
    <w:bookmarkEnd w:id="999"/>
    <w:bookmarkStart w:name="z2805" w:id="1000"/>
    <w:p>
      <w:pPr>
        <w:spacing w:after="0"/>
        <w:ind w:left="0"/>
        <w:jc w:val="both"/>
      </w:pPr>
      <w:r>
        <w:rPr>
          <w:rFonts w:ascii="Times New Roman"/>
          <w:b w:val="false"/>
          <w:i w:val="false"/>
          <w:color w:val="000000"/>
          <w:sz w:val="28"/>
        </w:rPr>
        <w:t>
      4) подразделение (подразделения), участвующее (участвующие) в процессе по управлению рисками:</w:t>
      </w:r>
    </w:p>
    <w:bookmarkEnd w:id="1000"/>
    <w:bookmarkStart w:name="z2806" w:id="1001"/>
    <w:p>
      <w:pPr>
        <w:spacing w:after="0"/>
        <w:ind w:left="0"/>
        <w:jc w:val="both"/>
      </w:pPr>
      <w:r>
        <w:rPr>
          <w:rFonts w:ascii="Times New Roman"/>
          <w:b w:val="false"/>
          <w:i w:val="false"/>
          <w:color w:val="000000"/>
          <w:sz w:val="28"/>
        </w:rPr>
        <w:t>
      является (являются) ответственным (ответственными) за реализацию процесса управления риском ликвидности;</w:t>
      </w:r>
    </w:p>
    <w:bookmarkEnd w:id="1001"/>
    <w:bookmarkStart w:name="z2807" w:id="1002"/>
    <w:p>
      <w:pPr>
        <w:spacing w:after="0"/>
        <w:ind w:left="0"/>
        <w:jc w:val="both"/>
      </w:pPr>
      <w:r>
        <w:rPr>
          <w:rFonts w:ascii="Times New Roman"/>
          <w:b w:val="false"/>
          <w:i w:val="false"/>
          <w:color w:val="000000"/>
          <w:sz w:val="28"/>
        </w:rPr>
        <w:t xml:space="preserve">
      отвечает (отвечают) за подготовку отчета по соблюдению ВПОДК и ВПОДЛ в соответствии со Структурой отчета по соблюдению внутреннего процесса оценки достаточности капитала и внутреннего процесса оценки достаточности ликвидности согласно приложению к Правилам. Банк обеспечивает наличие подтверждающих документов, которые включают, но не ограничиваясь, расчеты, применяемые модели, пояснительные записки, аналитические справки, результаты самооценки и оценку эффективности ВПОДЛ; </w:t>
      </w:r>
    </w:p>
    <w:bookmarkEnd w:id="1002"/>
    <w:bookmarkStart w:name="z2808" w:id="1003"/>
    <w:p>
      <w:pPr>
        <w:spacing w:after="0"/>
        <w:ind w:left="0"/>
        <w:jc w:val="both"/>
      </w:pPr>
      <w:r>
        <w:rPr>
          <w:rFonts w:ascii="Times New Roman"/>
          <w:b w:val="false"/>
          <w:i w:val="false"/>
          <w:color w:val="000000"/>
          <w:sz w:val="28"/>
        </w:rPr>
        <w:t>
      отвечает (отвечают) за подготовку проведения стресс-тестирования;</w:t>
      </w:r>
    </w:p>
    <w:bookmarkEnd w:id="1003"/>
    <w:bookmarkStart w:name="z2809" w:id="1004"/>
    <w:p>
      <w:pPr>
        <w:spacing w:after="0"/>
        <w:ind w:left="0"/>
        <w:jc w:val="both"/>
      </w:pPr>
      <w:r>
        <w:rPr>
          <w:rFonts w:ascii="Times New Roman"/>
          <w:b w:val="false"/>
          <w:i w:val="false"/>
          <w:color w:val="000000"/>
          <w:sz w:val="28"/>
        </w:rPr>
        <w:t>
      5) подразделение (подразделения) по управлению ликвидностью разрабатывает (разрабатывают) и реализует (реализуют) меры по оперативному управлению ликвидностью и совместно с подразделением по управлению рисками, разрабатывает план финансирования на случай непредвиденных обстоятельств;</w:t>
      </w:r>
    </w:p>
    <w:bookmarkEnd w:id="1004"/>
    <w:bookmarkStart w:name="z2810" w:id="1005"/>
    <w:p>
      <w:pPr>
        <w:spacing w:after="0"/>
        <w:ind w:left="0"/>
        <w:jc w:val="both"/>
      </w:pPr>
      <w:r>
        <w:rPr>
          <w:rFonts w:ascii="Times New Roman"/>
          <w:b w:val="false"/>
          <w:i w:val="false"/>
          <w:color w:val="000000"/>
          <w:sz w:val="28"/>
        </w:rPr>
        <w:t>
      6) подразделение внутреннего аудита проводит оценку эффективности ВПОДЛ.</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29.12.2022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1006"/>
    <w:p>
      <w:pPr>
        <w:spacing w:after="0"/>
        <w:ind w:left="0"/>
        <w:jc w:val="both"/>
      </w:pPr>
      <w:r>
        <w:rPr>
          <w:rFonts w:ascii="Times New Roman"/>
          <w:b w:val="false"/>
          <w:i w:val="false"/>
          <w:color w:val="000000"/>
          <w:sz w:val="28"/>
        </w:rPr>
        <w:t>
      55. В рамках ВПОДЛ совет директоров банка несет ответственность за соблюдение утвержденной стратегии риск-аппетита.</w:t>
      </w:r>
    </w:p>
    <w:bookmarkEnd w:id="1006"/>
    <w:bookmarkStart w:name="z801" w:id="1007"/>
    <w:p>
      <w:pPr>
        <w:spacing w:after="0"/>
        <w:ind w:left="0"/>
        <w:jc w:val="both"/>
      </w:pPr>
      <w:r>
        <w:rPr>
          <w:rFonts w:ascii="Times New Roman"/>
          <w:b w:val="false"/>
          <w:i w:val="false"/>
          <w:color w:val="000000"/>
          <w:sz w:val="28"/>
        </w:rPr>
        <w:t>
      56. Банк разрабатывает эффективный процесс по выявлению, оценке, мониторингу и контролю риска ликвидности, который включает детальное прогнозирование денежных потоков по активам, обязательствам и внебалансовым инструментам на разных временных интервалах.</w:t>
      </w:r>
    </w:p>
    <w:bookmarkEnd w:id="1007"/>
    <w:bookmarkStart w:name="z802" w:id="1008"/>
    <w:p>
      <w:pPr>
        <w:spacing w:after="0"/>
        <w:ind w:left="0"/>
        <w:jc w:val="both"/>
      </w:pPr>
      <w:r>
        <w:rPr>
          <w:rFonts w:ascii="Times New Roman"/>
          <w:b w:val="false"/>
          <w:i w:val="false"/>
          <w:color w:val="000000"/>
          <w:sz w:val="28"/>
        </w:rPr>
        <w:t>
      Банк оценивает все балансовые и внебалансовые статьи, влияющие на уровень риска ликвидности. Банк оценивает уровень ликвидности на рынке для покрытия потребности банка в привлечении фондирования в целях регулирования риска ликвидности.</w:t>
      </w:r>
    </w:p>
    <w:bookmarkEnd w:id="1008"/>
    <w:bookmarkStart w:name="z803" w:id="1009"/>
    <w:p>
      <w:pPr>
        <w:spacing w:after="0"/>
        <w:ind w:left="0"/>
        <w:jc w:val="both"/>
      </w:pPr>
      <w:r>
        <w:rPr>
          <w:rFonts w:ascii="Times New Roman"/>
          <w:b w:val="false"/>
          <w:i w:val="false"/>
          <w:color w:val="000000"/>
          <w:sz w:val="28"/>
        </w:rPr>
        <w:t xml:space="preserve">
      При управлении риском ликвидности банк учитывает снижение стоимости активов и влияния их продажи во время стрессов на уровень ликвидности, доходности и капитал. </w:t>
      </w:r>
    </w:p>
    <w:bookmarkEnd w:id="1009"/>
    <w:bookmarkStart w:name="z804" w:id="1010"/>
    <w:p>
      <w:pPr>
        <w:spacing w:after="0"/>
        <w:ind w:left="0"/>
        <w:jc w:val="both"/>
      </w:pPr>
      <w:r>
        <w:rPr>
          <w:rFonts w:ascii="Times New Roman"/>
          <w:b w:val="false"/>
          <w:i w:val="false"/>
          <w:color w:val="000000"/>
          <w:sz w:val="28"/>
        </w:rPr>
        <w:t>
      Банк учитывает взаимодействие между риском ликвидности и другими видами рисков, которым он подвергается.</w:t>
      </w:r>
    </w:p>
    <w:bookmarkEnd w:id="1010"/>
    <w:bookmarkStart w:name="z805" w:id="1011"/>
    <w:p>
      <w:pPr>
        <w:spacing w:after="0"/>
        <w:ind w:left="0"/>
        <w:jc w:val="both"/>
      </w:pPr>
      <w:r>
        <w:rPr>
          <w:rFonts w:ascii="Times New Roman"/>
          <w:b w:val="false"/>
          <w:i w:val="false"/>
          <w:color w:val="000000"/>
          <w:sz w:val="28"/>
        </w:rPr>
        <w:t>
      Измерение ликвидности включает в себя оценку притоков и оттоков денежных средств банка для определения потенциального дефицита ликвидных активов в будущем. Банк измеряет и прогнозирует предполагаемые денежные потоки по активам и обязательствам, включая внебалансовые требования и обязательств, на разных временных горизонтах при нормальных условиях и в ряде сценариев, с различной степенью стресса.</w:t>
      </w:r>
    </w:p>
    <w:bookmarkEnd w:id="1011"/>
    <w:bookmarkStart w:name="z806" w:id="1012"/>
    <w:p>
      <w:pPr>
        <w:spacing w:after="0"/>
        <w:ind w:left="0"/>
        <w:jc w:val="both"/>
      </w:pPr>
      <w:r>
        <w:rPr>
          <w:rFonts w:ascii="Times New Roman"/>
          <w:b w:val="false"/>
          <w:i w:val="false"/>
          <w:color w:val="000000"/>
          <w:sz w:val="28"/>
        </w:rPr>
        <w:t>
      К таким временным горизонтам относятся:</w:t>
      </w:r>
    </w:p>
    <w:bookmarkEnd w:id="1012"/>
    <w:bookmarkStart w:name="z807" w:id="1013"/>
    <w:p>
      <w:pPr>
        <w:spacing w:after="0"/>
        <w:ind w:left="0"/>
        <w:jc w:val="both"/>
      </w:pPr>
      <w:r>
        <w:rPr>
          <w:rFonts w:ascii="Times New Roman"/>
          <w:b w:val="false"/>
          <w:i w:val="false"/>
          <w:color w:val="000000"/>
          <w:sz w:val="28"/>
        </w:rPr>
        <w:t>
      потребность в ликвидности и возможности финансирования на внутридневной основе;</w:t>
      </w:r>
    </w:p>
    <w:bookmarkEnd w:id="1013"/>
    <w:bookmarkStart w:name="z808" w:id="1014"/>
    <w:p>
      <w:pPr>
        <w:spacing w:after="0"/>
        <w:ind w:left="0"/>
        <w:jc w:val="both"/>
      </w:pPr>
      <w:r>
        <w:rPr>
          <w:rFonts w:ascii="Times New Roman"/>
          <w:b w:val="false"/>
          <w:i w:val="false"/>
          <w:color w:val="000000"/>
          <w:sz w:val="28"/>
        </w:rPr>
        <w:t>
      потребность в ликвидности и возможности финансирования на короткие и среднесрочные горизонты до 1 (одного) года;</w:t>
      </w:r>
    </w:p>
    <w:bookmarkEnd w:id="1014"/>
    <w:bookmarkStart w:name="z809" w:id="1015"/>
    <w:p>
      <w:pPr>
        <w:spacing w:after="0"/>
        <w:ind w:left="0"/>
        <w:jc w:val="both"/>
      </w:pPr>
      <w:r>
        <w:rPr>
          <w:rFonts w:ascii="Times New Roman"/>
          <w:b w:val="false"/>
          <w:i w:val="false"/>
          <w:color w:val="000000"/>
          <w:sz w:val="28"/>
        </w:rPr>
        <w:t>
      долгосрочная ликвидность более 1 (одного) года.</w:t>
      </w:r>
    </w:p>
    <w:bookmarkEnd w:id="1015"/>
    <w:bookmarkStart w:name="z810" w:id="1016"/>
    <w:p>
      <w:pPr>
        <w:spacing w:after="0"/>
        <w:ind w:left="0"/>
        <w:jc w:val="both"/>
      </w:pPr>
      <w:r>
        <w:rPr>
          <w:rFonts w:ascii="Times New Roman"/>
          <w:b w:val="false"/>
          <w:i w:val="false"/>
          <w:color w:val="000000"/>
          <w:sz w:val="28"/>
        </w:rPr>
        <w:t>
      Банк разрабатывает индикаторы раннего предупреждения, выявляющие повышение риска ликвидности и риски ограниченного фондирования. Разработанные индикаторы выявляют негативную тенденцию уровня ликвидности, фондирования банка и отражают реальную оценку в целях принятия незамедлительных мер по смягчению воздействия возникающих рисков на финансовое положение банка.</w:t>
      </w:r>
    </w:p>
    <w:bookmarkEnd w:id="1016"/>
    <w:bookmarkStart w:name="z811" w:id="1017"/>
    <w:p>
      <w:pPr>
        <w:spacing w:after="0"/>
        <w:ind w:left="0"/>
        <w:jc w:val="both"/>
      </w:pPr>
      <w:r>
        <w:rPr>
          <w:rFonts w:ascii="Times New Roman"/>
          <w:b w:val="false"/>
          <w:i w:val="false"/>
          <w:color w:val="000000"/>
          <w:sz w:val="28"/>
        </w:rPr>
        <w:t>
      Банк определяет триггеры качественных и количественных индикаторов раннего предупреждения.</w:t>
      </w:r>
    </w:p>
    <w:bookmarkEnd w:id="1017"/>
    <w:bookmarkStart w:name="z812" w:id="1018"/>
    <w:p>
      <w:pPr>
        <w:spacing w:after="0"/>
        <w:ind w:left="0"/>
        <w:jc w:val="both"/>
      </w:pPr>
      <w:r>
        <w:rPr>
          <w:rFonts w:ascii="Times New Roman"/>
          <w:b w:val="false"/>
          <w:i w:val="false"/>
          <w:color w:val="000000"/>
          <w:sz w:val="28"/>
        </w:rPr>
        <w:t>
      Качественные или количественные индикаторы раннего предупреждения по своему характеру включают, но, не ограничиваясь, следующее:</w:t>
      </w:r>
    </w:p>
    <w:bookmarkEnd w:id="1018"/>
    <w:bookmarkStart w:name="z813" w:id="1019"/>
    <w:p>
      <w:pPr>
        <w:spacing w:after="0"/>
        <w:ind w:left="0"/>
        <w:jc w:val="both"/>
      </w:pPr>
      <w:r>
        <w:rPr>
          <w:rFonts w:ascii="Times New Roman"/>
          <w:b w:val="false"/>
          <w:i w:val="false"/>
          <w:color w:val="000000"/>
          <w:sz w:val="28"/>
        </w:rPr>
        <w:t>
      быстрый рост активов, в особенности финансируемых за счет обязательств с возможностью досрочного изъятия, либо по которым не установлен срок погашения;</w:t>
      </w:r>
    </w:p>
    <w:bookmarkEnd w:id="1019"/>
    <w:bookmarkStart w:name="z814" w:id="1020"/>
    <w:p>
      <w:pPr>
        <w:spacing w:after="0"/>
        <w:ind w:left="0"/>
        <w:jc w:val="both"/>
      </w:pPr>
      <w:r>
        <w:rPr>
          <w:rFonts w:ascii="Times New Roman"/>
          <w:b w:val="false"/>
          <w:i w:val="false"/>
          <w:color w:val="000000"/>
          <w:sz w:val="28"/>
        </w:rPr>
        <w:t>
      увеличение концентрации в отдельных активах или обязательствах;</w:t>
      </w:r>
    </w:p>
    <w:bookmarkEnd w:id="1020"/>
    <w:bookmarkStart w:name="z815" w:id="1021"/>
    <w:p>
      <w:pPr>
        <w:spacing w:after="0"/>
        <w:ind w:left="0"/>
        <w:jc w:val="both"/>
      </w:pPr>
      <w:r>
        <w:rPr>
          <w:rFonts w:ascii="Times New Roman"/>
          <w:b w:val="false"/>
          <w:i w:val="false"/>
          <w:color w:val="000000"/>
          <w:sz w:val="28"/>
        </w:rPr>
        <w:t>
      увеличение разрывов в валютах;</w:t>
      </w:r>
    </w:p>
    <w:bookmarkEnd w:id="1021"/>
    <w:bookmarkStart w:name="z816" w:id="1022"/>
    <w:p>
      <w:pPr>
        <w:spacing w:after="0"/>
        <w:ind w:left="0"/>
        <w:jc w:val="both"/>
      </w:pPr>
      <w:r>
        <w:rPr>
          <w:rFonts w:ascii="Times New Roman"/>
          <w:b w:val="false"/>
          <w:i w:val="false"/>
          <w:color w:val="000000"/>
          <w:sz w:val="28"/>
        </w:rPr>
        <w:t>
      снижение средневзвешенного срока погашения обязательств;</w:t>
      </w:r>
    </w:p>
    <w:bookmarkEnd w:id="1022"/>
    <w:bookmarkStart w:name="z817" w:id="1023"/>
    <w:p>
      <w:pPr>
        <w:spacing w:after="0"/>
        <w:ind w:left="0"/>
        <w:jc w:val="both"/>
      </w:pPr>
      <w:r>
        <w:rPr>
          <w:rFonts w:ascii="Times New Roman"/>
          <w:b w:val="false"/>
          <w:i w:val="false"/>
          <w:color w:val="000000"/>
          <w:sz w:val="28"/>
        </w:rPr>
        <w:t>
      приближение к значениям внутренних лимитов банка и (или) пруденциальных нормативов, определенным как допустимые, но требующие отдельных корректирующих мер в действующих процедурах системы управления рисками с целью снижения уровня риска;</w:t>
      </w:r>
    </w:p>
    <w:bookmarkEnd w:id="1023"/>
    <w:bookmarkStart w:name="z818" w:id="1024"/>
    <w:p>
      <w:pPr>
        <w:spacing w:after="0"/>
        <w:ind w:left="0"/>
        <w:jc w:val="both"/>
      </w:pPr>
      <w:r>
        <w:rPr>
          <w:rFonts w:ascii="Times New Roman"/>
          <w:b w:val="false"/>
          <w:i w:val="false"/>
          <w:color w:val="000000"/>
          <w:sz w:val="28"/>
        </w:rPr>
        <w:t>
      негативные тенденции или повышенный риск, связанный с деятельностью банка;</w:t>
      </w:r>
    </w:p>
    <w:bookmarkEnd w:id="1024"/>
    <w:bookmarkStart w:name="z819" w:id="1025"/>
    <w:p>
      <w:pPr>
        <w:spacing w:after="0"/>
        <w:ind w:left="0"/>
        <w:jc w:val="both"/>
      </w:pPr>
      <w:r>
        <w:rPr>
          <w:rFonts w:ascii="Times New Roman"/>
          <w:b w:val="false"/>
          <w:i w:val="false"/>
          <w:color w:val="000000"/>
          <w:sz w:val="28"/>
        </w:rPr>
        <w:t>
      значительное снижение доходов банка, ухудшение качества активов и общего финансового состояния банка;</w:t>
      </w:r>
    </w:p>
    <w:bookmarkEnd w:id="1025"/>
    <w:bookmarkStart w:name="z820" w:id="1026"/>
    <w:p>
      <w:pPr>
        <w:spacing w:after="0"/>
        <w:ind w:left="0"/>
        <w:jc w:val="both"/>
      </w:pPr>
      <w:r>
        <w:rPr>
          <w:rFonts w:ascii="Times New Roman"/>
          <w:b w:val="false"/>
          <w:i w:val="false"/>
          <w:color w:val="000000"/>
          <w:sz w:val="28"/>
        </w:rPr>
        <w:t>
      негативную информацию, в том числе в средствах массовой информации, связанную с банком;</w:t>
      </w:r>
    </w:p>
    <w:bookmarkEnd w:id="1026"/>
    <w:bookmarkStart w:name="z821" w:id="1027"/>
    <w:p>
      <w:pPr>
        <w:spacing w:after="0"/>
        <w:ind w:left="0"/>
        <w:jc w:val="both"/>
      </w:pPr>
      <w:r>
        <w:rPr>
          <w:rFonts w:ascii="Times New Roman"/>
          <w:b w:val="false"/>
          <w:i w:val="false"/>
          <w:color w:val="000000"/>
          <w:sz w:val="28"/>
        </w:rPr>
        <w:t>
      понижение кредитного рейтинга банка;</w:t>
      </w:r>
    </w:p>
    <w:bookmarkEnd w:id="1027"/>
    <w:bookmarkStart w:name="z822" w:id="1028"/>
    <w:p>
      <w:pPr>
        <w:spacing w:after="0"/>
        <w:ind w:left="0"/>
        <w:jc w:val="both"/>
      </w:pPr>
      <w:r>
        <w:rPr>
          <w:rFonts w:ascii="Times New Roman"/>
          <w:b w:val="false"/>
          <w:i w:val="false"/>
          <w:color w:val="000000"/>
          <w:sz w:val="28"/>
        </w:rPr>
        <w:t>
      снижение котировок акций или рост стоимости долга банка;</w:t>
      </w:r>
    </w:p>
    <w:bookmarkEnd w:id="1028"/>
    <w:bookmarkStart w:name="z823" w:id="1029"/>
    <w:p>
      <w:pPr>
        <w:spacing w:after="0"/>
        <w:ind w:left="0"/>
        <w:jc w:val="both"/>
      </w:pPr>
      <w:r>
        <w:rPr>
          <w:rFonts w:ascii="Times New Roman"/>
          <w:b w:val="false"/>
          <w:i w:val="false"/>
          <w:color w:val="000000"/>
          <w:sz w:val="28"/>
        </w:rPr>
        <w:t>
      рост стоимости корпоративного или розничного фондирования;</w:t>
      </w:r>
    </w:p>
    <w:bookmarkEnd w:id="1029"/>
    <w:bookmarkStart w:name="z824" w:id="1030"/>
    <w:p>
      <w:pPr>
        <w:spacing w:after="0"/>
        <w:ind w:left="0"/>
        <w:jc w:val="both"/>
      </w:pPr>
      <w:r>
        <w:rPr>
          <w:rFonts w:ascii="Times New Roman"/>
          <w:b w:val="false"/>
          <w:i w:val="false"/>
          <w:color w:val="000000"/>
          <w:sz w:val="28"/>
        </w:rPr>
        <w:t>
      увеличение требований контрагентов по предоставлению дополнительного обеспечения и (или) отказы по новым сделкам без обеспечения и по пролонгации сроков;</w:t>
      </w:r>
    </w:p>
    <w:bookmarkEnd w:id="1030"/>
    <w:bookmarkStart w:name="z825" w:id="1031"/>
    <w:p>
      <w:pPr>
        <w:spacing w:after="0"/>
        <w:ind w:left="0"/>
        <w:jc w:val="both"/>
      </w:pPr>
      <w:r>
        <w:rPr>
          <w:rFonts w:ascii="Times New Roman"/>
          <w:b w:val="false"/>
          <w:i w:val="false"/>
          <w:color w:val="000000"/>
          <w:sz w:val="28"/>
        </w:rPr>
        <w:t>
      закрытие или уменьшение установленного размера предоставленных кредитных линий для банка;</w:t>
      </w:r>
    </w:p>
    <w:bookmarkEnd w:id="1031"/>
    <w:bookmarkStart w:name="z826" w:id="1032"/>
    <w:p>
      <w:pPr>
        <w:spacing w:after="0"/>
        <w:ind w:left="0"/>
        <w:jc w:val="both"/>
      </w:pPr>
      <w:r>
        <w:rPr>
          <w:rFonts w:ascii="Times New Roman"/>
          <w:b w:val="false"/>
          <w:i w:val="false"/>
          <w:color w:val="000000"/>
          <w:sz w:val="28"/>
        </w:rPr>
        <w:t>
      увеличение оттока розничных депозитов;</w:t>
      </w:r>
    </w:p>
    <w:bookmarkEnd w:id="1032"/>
    <w:bookmarkStart w:name="z827" w:id="1033"/>
    <w:p>
      <w:pPr>
        <w:spacing w:after="0"/>
        <w:ind w:left="0"/>
        <w:jc w:val="both"/>
      </w:pPr>
      <w:r>
        <w:rPr>
          <w:rFonts w:ascii="Times New Roman"/>
          <w:b w:val="false"/>
          <w:i w:val="false"/>
          <w:color w:val="000000"/>
          <w:sz w:val="28"/>
        </w:rPr>
        <w:t>
      увеличение оттока срочных корпоративных депозитов;</w:t>
      </w:r>
    </w:p>
    <w:bookmarkEnd w:id="1033"/>
    <w:bookmarkStart w:name="z828" w:id="1034"/>
    <w:p>
      <w:pPr>
        <w:spacing w:after="0"/>
        <w:ind w:left="0"/>
        <w:jc w:val="both"/>
      </w:pPr>
      <w:r>
        <w:rPr>
          <w:rFonts w:ascii="Times New Roman"/>
          <w:b w:val="false"/>
          <w:i w:val="false"/>
          <w:color w:val="000000"/>
          <w:sz w:val="28"/>
        </w:rPr>
        <w:t>
      трудности в привлечении долгосрочного финансирования.</w:t>
      </w:r>
    </w:p>
    <w:bookmarkEnd w:id="1034"/>
    <w:bookmarkStart w:name="z829" w:id="1035"/>
    <w:p>
      <w:pPr>
        <w:spacing w:after="0"/>
        <w:ind w:left="0"/>
        <w:jc w:val="both"/>
      </w:pPr>
      <w:r>
        <w:rPr>
          <w:rFonts w:ascii="Times New Roman"/>
          <w:b w:val="false"/>
          <w:i w:val="false"/>
          <w:color w:val="000000"/>
          <w:sz w:val="28"/>
        </w:rPr>
        <w:t>
      Банк активно управляет позицией внутридневной ликвидности и сопутствующими рисками в целях своевременного исполнения обязательств по платежам и расчетам, как в нормальных, так и в стрессовых ситуациях, тем самым содействуя бесперебойному функционированию платежных и расчетных систем.</w:t>
      </w:r>
    </w:p>
    <w:bookmarkEnd w:id="1035"/>
    <w:bookmarkStart w:name="z830" w:id="1036"/>
    <w:p>
      <w:pPr>
        <w:spacing w:after="0"/>
        <w:ind w:left="0"/>
        <w:jc w:val="both"/>
      </w:pPr>
      <w:r>
        <w:rPr>
          <w:rFonts w:ascii="Times New Roman"/>
          <w:b w:val="false"/>
          <w:i w:val="false"/>
          <w:color w:val="000000"/>
          <w:sz w:val="28"/>
        </w:rPr>
        <w:t>
      Банк управляет внутридневным риском ликвидности посредством процедур, которые включают, но не ограничиваются следующим:</w:t>
      </w:r>
    </w:p>
    <w:bookmarkEnd w:id="1036"/>
    <w:bookmarkStart w:name="z831" w:id="1037"/>
    <w:p>
      <w:pPr>
        <w:spacing w:after="0"/>
        <w:ind w:left="0"/>
        <w:jc w:val="both"/>
      </w:pPr>
      <w:r>
        <w:rPr>
          <w:rFonts w:ascii="Times New Roman"/>
          <w:b w:val="false"/>
          <w:i w:val="false"/>
          <w:color w:val="000000"/>
          <w:sz w:val="28"/>
        </w:rPr>
        <w:t>
      отслеживание дневных позиций ликвидности с учетом ожидаемых денежных притоков и оттоков, прогнозирование размера потенциального дефицита финансирования, возникающие в разные периоды операционного дня;</w:t>
      </w:r>
    </w:p>
    <w:bookmarkEnd w:id="1037"/>
    <w:bookmarkStart w:name="z832" w:id="1038"/>
    <w:p>
      <w:pPr>
        <w:spacing w:after="0"/>
        <w:ind w:left="0"/>
        <w:jc w:val="both"/>
      </w:pPr>
      <w:r>
        <w:rPr>
          <w:rFonts w:ascii="Times New Roman"/>
          <w:b w:val="false"/>
          <w:i w:val="false"/>
          <w:color w:val="000000"/>
          <w:sz w:val="28"/>
        </w:rPr>
        <w:t>
      определение ключевых клиентов, выступающих в качестве основных источников поступающих или исходящих потоков ликвидности, прогнозирование притоков и оттоков посредством налаживания постоянной связи и информированности о ближайших будущих крупных поступлениях и изъятиях;</w:t>
      </w:r>
    </w:p>
    <w:bookmarkEnd w:id="1038"/>
    <w:bookmarkStart w:name="z833" w:id="1039"/>
    <w:p>
      <w:pPr>
        <w:spacing w:after="0"/>
        <w:ind w:left="0"/>
        <w:jc w:val="both"/>
      </w:pPr>
      <w:r>
        <w:rPr>
          <w:rFonts w:ascii="Times New Roman"/>
          <w:b w:val="false"/>
          <w:i w:val="false"/>
          <w:color w:val="000000"/>
          <w:sz w:val="28"/>
        </w:rPr>
        <w:t>
      определение ключевых периодов, дат и обстоятельств, при которых потоки ликвидности и возможные кредитные потребности особенно высоки;</w:t>
      </w:r>
    </w:p>
    <w:bookmarkEnd w:id="1039"/>
    <w:bookmarkStart w:name="z834" w:id="1040"/>
    <w:p>
      <w:pPr>
        <w:spacing w:after="0"/>
        <w:ind w:left="0"/>
        <w:jc w:val="both"/>
      </w:pPr>
      <w:r>
        <w:rPr>
          <w:rFonts w:ascii="Times New Roman"/>
          <w:b w:val="false"/>
          <w:i w:val="false"/>
          <w:color w:val="000000"/>
          <w:sz w:val="28"/>
        </w:rPr>
        <w:t>
      понимание потребностей бизнес-подразделений;</w:t>
      </w:r>
    </w:p>
    <w:bookmarkEnd w:id="1040"/>
    <w:bookmarkStart w:name="z835" w:id="1041"/>
    <w:p>
      <w:pPr>
        <w:spacing w:after="0"/>
        <w:ind w:left="0"/>
        <w:jc w:val="both"/>
      </w:pPr>
      <w:r>
        <w:rPr>
          <w:rFonts w:ascii="Times New Roman"/>
          <w:b w:val="false"/>
          <w:i w:val="false"/>
          <w:color w:val="000000"/>
          <w:sz w:val="28"/>
        </w:rPr>
        <w:t>
      контроль внутридневной позиции ликвидности по отношению к ожидаемым выплатам в целях определения размера необходимой дополнительной внутридневной ликвидности или необходимости ограничения оттока ликвидности для покрытия приоритетных платежей;</w:t>
      </w:r>
    </w:p>
    <w:bookmarkEnd w:id="1041"/>
    <w:bookmarkStart w:name="z836" w:id="1042"/>
    <w:p>
      <w:pPr>
        <w:spacing w:after="0"/>
        <w:ind w:left="0"/>
        <w:jc w:val="both"/>
      </w:pPr>
      <w:r>
        <w:rPr>
          <w:rFonts w:ascii="Times New Roman"/>
          <w:b w:val="false"/>
          <w:i w:val="false"/>
          <w:color w:val="000000"/>
          <w:sz w:val="28"/>
        </w:rPr>
        <w:t>
      наличие надежных источников фондирования в целях получения достаточного уровня требуемой внутридневной ликвидности в короткие сроки;</w:t>
      </w:r>
    </w:p>
    <w:bookmarkEnd w:id="1042"/>
    <w:bookmarkStart w:name="z837" w:id="1043"/>
    <w:p>
      <w:pPr>
        <w:spacing w:after="0"/>
        <w:ind w:left="0"/>
        <w:jc w:val="both"/>
      </w:pPr>
      <w:r>
        <w:rPr>
          <w:rFonts w:ascii="Times New Roman"/>
          <w:b w:val="false"/>
          <w:i w:val="false"/>
          <w:color w:val="000000"/>
          <w:sz w:val="28"/>
        </w:rPr>
        <w:t>
      управление активами банка, которые используются в качестве залога в случае необходимости получения дневных заемных средств;</w:t>
      </w:r>
    </w:p>
    <w:bookmarkEnd w:id="1043"/>
    <w:bookmarkStart w:name="z838" w:id="1044"/>
    <w:p>
      <w:pPr>
        <w:spacing w:after="0"/>
        <w:ind w:left="0"/>
        <w:jc w:val="both"/>
      </w:pPr>
      <w:r>
        <w:rPr>
          <w:rFonts w:ascii="Times New Roman"/>
          <w:b w:val="false"/>
          <w:i w:val="false"/>
          <w:color w:val="000000"/>
          <w:sz w:val="28"/>
        </w:rPr>
        <w:t>
      наличие достаточного размера таких активов, оперативных механизмов для залога;</w:t>
      </w:r>
    </w:p>
    <w:bookmarkEnd w:id="1044"/>
    <w:bookmarkStart w:name="z839" w:id="1045"/>
    <w:p>
      <w:pPr>
        <w:spacing w:after="0"/>
        <w:ind w:left="0"/>
        <w:jc w:val="both"/>
      </w:pPr>
      <w:r>
        <w:rPr>
          <w:rFonts w:ascii="Times New Roman"/>
          <w:b w:val="false"/>
          <w:i w:val="false"/>
          <w:color w:val="000000"/>
          <w:sz w:val="28"/>
        </w:rPr>
        <w:t>
      мониторинг за оттоками средств ключевых клиентов в соответствии с внутридневными потребностями;</w:t>
      </w:r>
    </w:p>
    <w:bookmarkEnd w:id="1045"/>
    <w:bookmarkStart w:name="z840" w:id="1046"/>
    <w:p>
      <w:pPr>
        <w:spacing w:after="0"/>
        <w:ind w:left="0"/>
        <w:jc w:val="both"/>
      </w:pPr>
      <w:r>
        <w:rPr>
          <w:rFonts w:ascii="Times New Roman"/>
          <w:b w:val="false"/>
          <w:i w:val="false"/>
          <w:color w:val="000000"/>
          <w:sz w:val="28"/>
        </w:rPr>
        <w:t>
      меры реагирования банка в случае непредвиденного возникновения разрывов в дневных потоках ликвидности, включая меры по обеспечению непрерывности деятельности.</w:t>
      </w:r>
    </w:p>
    <w:bookmarkEnd w:id="1046"/>
    <w:bookmarkStart w:name="z841" w:id="1047"/>
    <w:p>
      <w:pPr>
        <w:spacing w:after="0"/>
        <w:ind w:left="0"/>
        <w:jc w:val="both"/>
      </w:pPr>
      <w:r>
        <w:rPr>
          <w:rFonts w:ascii="Times New Roman"/>
          <w:b w:val="false"/>
          <w:i w:val="false"/>
          <w:color w:val="000000"/>
          <w:sz w:val="28"/>
        </w:rPr>
        <w:t>
      Банк обеспечивает наличие эффективной системы управленческой информации, предназначенной для предоставления совету директоров банка, комитету по вопросам управления рисками и другим заинтересованным структурным подразделениям банка информации о подверженности банка риску ликвидности и состоянии ликвидности банка.</w:t>
      </w:r>
    </w:p>
    <w:bookmarkEnd w:id="1047"/>
    <w:bookmarkStart w:name="z842" w:id="1048"/>
    <w:p>
      <w:pPr>
        <w:spacing w:after="0"/>
        <w:ind w:left="0"/>
        <w:jc w:val="both"/>
      </w:pPr>
      <w:r>
        <w:rPr>
          <w:rFonts w:ascii="Times New Roman"/>
          <w:b w:val="false"/>
          <w:i w:val="false"/>
          <w:color w:val="000000"/>
          <w:sz w:val="28"/>
        </w:rPr>
        <w:t>
      Банк разрабатывает систему управленческой отчетности, которая:</w:t>
      </w:r>
    </w:p>
    <w:bookmarkEnd w:id="1048"/>
    <w:bookmarkStart w:name="z843" w:id="1049"/>
    <w:p>
      <w:pPr>
        <w:spacing w:after="0"/>
        <w:ind w:left="0"/>
        <w:jc w:val="both"/>
      </w:pPr>
      <w:r>
        <w:rPr>
          <w:rFonts w:ascii="Times New Roman"/>
          <w:b w:val="false"/>
          <w:i w:val="false"/>
          <w:color w:val="000000"/>
          <w:sz w:val="28"/>
        </w:rPr>
        <w:t>
      охватывает все источники риска ликвидности, включая риски по условным обязательствам, а также риски, связанные с возникновением событий, которые влекут за собой досрочное погашение обязательств и потребность в определенном объеме ликвидности по соответствующим источникам;</w:t>
      </w:r>
    </w:p>
    <w:bookmarkEnd w:id="1049"/>
    <w:bookmarkStart w:name="z844" w:id="1050"/>
    <w:p>
      <w:pPr>
        <w:spacing w:after="0"/>
        <w:ind w:left="0"/>
        <w:jc w:val="both"/>
      </w:pPr>
      <w:r>
        <w:rPr>
          <w:rFonts w:ascii="Times New Roman"/>
          <w:b w:val="false"/>
          <w:i w:val="false"/>
          <w:color w:val="000000"/>
          <w:sz w:val="28"/>
        </w:rPr>
        <w:t>
      обеспечивает представление информации по позициям ликвидности в разрезе различных временных горизонтов;</w:t>
      </w:r>
    </w:p>
    <w:bookmarkEnd w:id="1050"/>
    <w:bookmarkStart w:name="z845" w:id="1051"/>
    <w:p>
      <w:pPr>
        <w:spacing w:after="0"/>
        <w:ind w:left="0"/>
        <w:jc w:val="both"/>
      </w:pPr>
      <w:r>
        <w:rPr>
          <w:rFonts w:ascii="Times New Roman"/>
          <w:b w:val="false"/>
          <w:i w:val="false"/>
          <w:color w:val="000000"/>
          <w:sz w:val="28"/>
        </w:rPr>
        <w:t>
      обеспечивает измерение риска для мониторинга позиций по ликвидности, как в нормальных, так и в стрессовых условиях, по видам валют, в которых у банка есть значительные позиции, как на индивидуальной, так и на агрегированной основе;</w:t>
      </w:r>
    </w:p>
    <w:bookmarkEnd w:id="1051"/>
    <w:bookmarkStart w:name="z846" w:id="1052"/>
    <w:p>
      <w:pPr>
        <w:spacing w:after="0"/>
        <w:ind w:left="0"/>
        <w:jc w:val="both"/>
      </w:pPr>
      <w:r>
        <w:rPr>
          <w:rFonts w:ascii="Times New Roman"/>
          <w:b w:val="false"/>
          <w:i w:val="false"/>
          <w:color w:val="000000"/>
          <w:sz w:val="28"/>
        </w:rPr>
        <w:t>
      позволяет осуществлять мониторинг и анализ динамики необремененных высоколиквидных активов, с целью их продажи или использования в качестве залога для привлечения средств при наступлении стрессовых ситуаций;</w:t>
      </w:r>
    </w:p>
    <w:bookmarkEnd w:id="1052"/>
    <w:bookmarkStart w:name="z847" w:id="1053"/>
    <w:p>
      <w:pPr>
        <w:spacing w:after="0"/>
        <w:ind w:left="0"/>
        <w:jc w:val="both"/>
      </w:pPr>
      <w:r>
        <w:rPr>
          <w:rFonts w:ascii="Times New Roman"/>
          <w:b w:val="false"/>
          <w:i w:val="false"/>
          <w:color w:val="000000"/>
          <w:sz w:val="28"/>
        </w:rPr>
        <w:t>
      позволяет осуществлять мониторинг и анализ информации о факторах, влияющих на уровень запаса ликвидных активов;</w:t>
      </w:r>
    </w:p>
    <w:bookmarkEnd w:id="1053"/>
    <w:bookmarkStart w:name="z848" w:id="1054"/>
    <w:p>
      <w:pPr>
        <w:spacing w:after="0"/>
        <w:ind w:left="0"/>
        <w:jc w:val="both"/>
      </w:pPr>
      <w:r>
        <w:rPr>
          <w:rFonts w:ascii="Times New Roman"/>
          <w:b w:val="false"/>
          <w:i w:val="false"/>
          <w:color w:val="000000"/>
          <w:sz w:val="28"/>
        </w:rPr>
        <w:t>
      обеспечивает оценку и прогнозирование будущих денежных потоков в разрезе различных временных горизонтов, в том числе с учетом результатов стресс-тестирования по различным сценариям;</w:t>
      </w:r>
    </w:p>
    <w:bookmarkEnd w:id="1054"/>
    <w:bookmarkStart w:name="z849" w:id="1055"/>
    <w:p>
      <w:pPr>
        <w:spacing w:after="0"/>
        <w:ind w:left="0"/>
        <w:jc w:val="both"/>
      </w:pPr>
      <w:r>
        <w:rPr>
          <w:rFonts w:ascii="Times New Roman"/>
          <w:b w:val="false"/>
          <w:i w:val="false"/>
          <w:color w:val="000000"/>
          <w:sz w:val="28"/>
        </w:rPr>
        <w:t>
      предусматривает обеспечение более детальной и актуальной информацией на более частой основе в периоды стресса.</w:t>
      </w:r>
    </w:p>
    <w:bookmarkEnd w:id="1055"/>
    <w:bookmarkStart w:name="z850" w:id="1056"/>
    <w:p>
      <w:pPr>
        <w:spacing w:after="0"/>
        <w:ind w:left="0"/>
        <w:jc w:val="both"/>
      </w:pPr>
      <w:r>
        <w:rPr>
          <w:rFonts w:ascii="Times New Roman"/>
          <w:b w:val="false"/>
          <w:i w:val="false"/>
          <w:color w:val="000000"/>
          <w:sz w:val="28"/>
        </w:rPr>
        <w:t>
      Система управленческой отчетности включает, но, не ограничиваясь, установление внутреннего порядка, определяющего:</w:t>
      </w:r>
    </w:p>
    <w:bookmarkEnd w:id="1056"/>
    <w:bookmarkStart w:name="z851" w:id="1057"/>
    <w:p>
      <w:pPr>
        <w:spacing w:after="0"/>
        <w:ind w:left="0"/>
        <w:jc w:val="both"/>
      </w:pPr>
      <w:r>
        <w:rPr>
          <w:rFonts w:ascii="Times New Roman"/>
          <w:b w:val="false"/>
          <w:i w:val="false"/>
          <w:color w:val="000000"/>
          <w:sz w:val="28"/>
        </w:rPr>
        <w:t>
      критерии, состав, внутренний порядок и частоту отчетности по управлению риском ликвидности, представляемую различным получателям (например, ежедневная отчетность предоставляется лицам, ответственным за управление риском ликвидности, регулярная – правлению, комитету по вопросам управления рисками и совету директоров, с повышенной частотой – в периоды стрессовых ситуаций);</w:t>
      </w:r>
    </w:p>
    <w:bookmarkEnd w:id="1057"/>
    <w:bookmarkStart w:name="z852" w:id="1058"/>
    <w:p>
      <w:pPr>
        <w:spacing w:after="0"/>
        <w:ind w:left="0"/>
        <w:jc w:val="both"/>
      </w:pPr>
      <w:r>
        <w:rPr>
          <w:rFonts w:ascii="Times New Roman"/>
          <w:b w:val="false"/>
          <w:i w:val="false"/>
          <w:color w:val="000000"/>
          <w:sz w:val="28"/>
        </w:rPr>
        <w:t>
      сравнение текущего уровня риска ликвидности с установленными лимитами, выявление негативных факторов, приводящих к негативным тенденциям уровня ликвидности, а также способы ограничения нарушений;</w:t>
      </w:r>
    </w:p>
    <w:bookmarkEnd w:id="1058"/>
    <w:bookmarkStart w:name="z853" w:id="1059"/>
    <w:p>
      <w:pPr>
        <w:spacing w:after="0"/>
        <w:ind w:left="0"/>
        <w:jc w:val="both"/>
      </w:pPr>
      <w:r>
        <w:rPr>
          <w:rFonts w:ascii="Times New Roman"/>
          <w:b w:val="false"/>
          <w:i w:val="false"/>
          <w:color w:val="000000"/>
          <w:sz w:val="28"/>
        </w:rPr>
        <w:t>
      сообщения о нарушениях лимитов риска ликвидности с указанием пороговых значений, причин нарушений и предложений по выравниванию сложившейся ситуации;</w:t>
      </w:r>
    </w:p>
    <w:bookmarkEnd w:id="1059"/>
    <w:bookmarkStart w:name="z854" w:id="1060"/>
    <w:p>
      <w:pPr>
        <w:spacing w:after="0"/>
        <w:ind w:left="0"/>
        <w:jc w:val="both"/>
      </w:pPr>
      <w:r>
        <w:rPr>
          <w:rFonts w:ascii="Times New Roman"/>
          <w:b w:val="false"/>
          <w:i w:val="false"/>
          <w:color w:val="000000"/>
          <w:sz w:val="28"/>
        </w:rPr>
        <w:t>
      ответственных лиц (подразделений) за подготовку и доведение информации до соответствующих получателей.</w:t>
      </w:r>
    </w:p>
    <w:bookmarkEnd w:id="1060"/>
    <w:bookmarkStart w:name="z855" w:id="1061"/>
    <w:p>
      <w:pPr>
        <w:spacing w:after="0"/>
        <w:ind w:left="0"/>
        <w:jc w:val="both"/>
      </w:pPr>
      <w:r>
        <w:rPr>
          <w:rFonts w:ascii="Times New Roman"/>
          <w:b w:val="false"/>
          <w:i w:val="false"/>
          <w:color w:val="000000"/>
          <w:sz w:val="28"/>
        </w:rPr>
        <w:t>
      Информационные системы обеспечивают функционирование системы управления риском ликвидности, в том числе контроль за соблюдением установленных лимитов. Информационные системы соответствует сложности бизнеса банка, профилю рисков, сферами деятельности, объему активов и роли банка в финансовой системе.</w:t>
      </w:r>
    </w:p>
    <w:bookmarkEnd w:id="1061"/>
    <w:bookmarkStart w:name="z856" w:id="1062"/>
    <w:p>
      <w:pPr>
        <w:spacing w:after="0"/>
        <w:ind w:left="0"/>
        <w:jc w:val="both"/>
      </w:pPr>
      <w:r>
        <w:rPr>
          <w:rFonts w:ascii="Times New Roman"/>
          <w:b w:val="false"/>
          <w:i w:val="false"/>
          <w:color w:val="000000"/>
          <w:sz w:val="28"/>
        </w:rPr>
        <w:t>
      57. Описание процесса интеграции управления риском ликвидности в процесс утверждения новых продуктов и видов деятельности.</w:t>
      </w:r>
    </w:p>
    <w:bookmarkEnd w:id="1062"/>
    <w:bookmarkStart w:name="z857" w:id="1063"/>
    <w:p>
      <w:pPr>
        <w:spacing w:after="0"/>
        <w:ind w:left="0"/>
        <w:jc w:val="both"/>
      </w:pPr>
      <w:r>
        <w:rPr>
          <w:rFonts w:ascii="Times New Roman"/>
          <w:b w:val="false"/>
          <w:i w:val="false"/>
          <w:color w:val="000000"/>
          <w:sz w:val="28"/>
        </w:rPr>
        <w:t>
      Банк учитывает затраты, выгоды и риски ликвидности в процессе утверждения новых продуктов для всех важных видов деятельности.</w:t>
      </w:r>
    </w:p>
    <w:bookmarkEnd w:id="1063"/>
    <w:bookmarkStart w:name="z858" w:id="1064"/>
    <w:p>
      <w:pPr>
        <w:spacing w:after="0"/>
        <w:ind w:left="0"/>
        <w:jc w:val="both"/>
      </w:pPr>
      <w:r>
        <w:rPr>
          <w:rFonts w:ascii="Times New Roman"/>
          <w:b w:val="false"/>
          <w:i w:val="false"/>
          <w:color w:val="000000"/>
          <w:sz w:val="28"/>
        </w:rPr>
        <w:t>
      ВПОДЛ банка учитывает измерение затрат, выгод и рисков ликвидности, присущих всем направлениям деятельности банка (в том числе деятельность, связанную с условными рисками, которые не оказывают непосредственный эффект в настоящий момент, но имеют возможность реализоваться в будущем). Это распределение затрат, выгод и рисков ликвидности включает факторы, связанные с ожидаемыми сроками погашения активов и обязательств, их характеристиками риска ликвидности на рынке и любыми другими соответствующими факторами, включая выгоды от доступа к относительно стабильным источникам фондирования.</w:t>
      </w:r>
    </w:p>
    <w:bookmarkEnd w:id="1064"/>
    <w:bookmarkStart w:name="z859" w:id="1065"/>
    <w:p>
      <w:pPr>
        <w:spacing w:after="0"/>
        <w:ind w:left="0"/>
        <w:jc w:val="both"/>
      </w:pPr>
      <w:r>
        <w:rPr>
          <w:rFonts w:ascii="Times New Roman"/>
          <w:b w:val="false"/>
          <w:i w:val="false"/>
          <w:color w:val="000000"/>
          <w:sz w:val="28"/>
        </w:rPr>
        <w:t>
      58. Обзор стратегии фондирования и плана финансирования на случай непредвиденных обстоятельств с ликвидностью (далее – план финансирования). Банк диверсифицирует источники фондирования и устанавливает внутренние лимиты на концентрацию, учитывая, следующие факторы (но, не ограничиваясь ими):</w:t>
      </w:r>
    </w:p>
    <w:bookmarkEnd w:id="1065"/>
    <w:bookmarkStart w:name="z860" w:id="1066"/>
    <w:p>
      <w:pPr>
        <w:spacing w:after="0"/>
        <w:ind w:left="0"/>
        <w:jc w:val="both"/>
      </w:pPr>
      <w:r>
        <w:rPr>
          <w:rFonts w:ascii="Times New Roman"/>
          <w:b w:val="false"/>
          <w:i w:val="false"/>
          <w:color w:val="000000"/>
          <w:sz w:val="28"/>
        </w:rPr>
        <w:t>
      1) виды источников фондирования в разрезе продуктов, инструментов, рынков;</w:t>
      </w:r>
    </w:p>
    <w:bookmarkEnd w:id="1066"/>
    <w:bookmarkStart w:name="z861" w:id="1067"/>
    <w:p>
      <w:pPr>
        <w:spacing w:after="0"/>
        <w:ind w:left="0"/>
        <w:jc w:val="both"/>
      </w:pPr>
      <w:r>
        <w:rPr>
          <w:rFonts w:ascii="Times New Roman"/>
          <w:b w:val="false"/>
          <w:i w:val="false"/>
          <w:color w:val="000000"/>
          <w:sz w:val="28"/>
        </w:rPr>
        <w:t>
      2) срочность фондирования;</w:t>
      </w:r>
    </w:p>
    <w:bookmarkEnd w:id="1067"/>
    <w:bookmarkStart w:name="z862" w:id="1068"/>
    <w:p>
      <w:pPr>
        <w:spacing w:after="0"/>
        <w:ind w:left="0"/>
        <w:jc w:val="both"/>
      </w:pPr>
      <w:r>
        <w:rPr>
          <w:rFonts w:ascii="Times New Roman"/>
          <w:b w:val="false"/>
          <w:i w:val="false"/>
          <w:color w:val="000000"/>
          <w:sz w:val="28"/>
        </w:rPr>
        <w:t>
      3) характеристики эмитента, контрагента или кредитора, в том числе сектор экономики, географическое расположение;</w:t>
      </w:r>
    </w:p>
    <w:bookmarkEnd w:id="1068"/>
    <w:bookmarkStart w:name="z863" w:id="1069"/>
    <w:p>
      <w:pPr>
        <w:spacing w:after="0"/>
        <w:ind w:left="0"/>
        <w:jc w:val="both"/>
      </w:pPr>
      <w:r>
        <w:rPr>
          <w:rFonts w:ascii="Times New Roman"/>
          <w:b w:val="false"/>
          <w:i w:val="false"/>
          <w:color w:val="000000"/>
          <w:sz w:val="28"/>
        </w:rPr>
        <w:t>
      4) валюту источников фондирования.</w:t>
      </w:r>
    </w:p>
    <w:bookmarkEnd w:id="1069"/>
    <w:bookmarkStart w:name="z864" w:id="1070"/>
    <w:p>
      <w:pPr>
        <w:spacing w:after="0"/>
        <w:ind w:left="0"/>
        <w:jc w:val="both"/>
      </w:pPr>
      <w:r>
        <w:rPr>
          <w:rFonts w:ascii="Times New Roman"/>
          <w:b w:val="false"/>
          <w:i w:val="false"/>
          <w:color w:val="000000"/>
          <w:sz w:val="28"/>
        </w:rPr>
        <w:t>
      Цели диверсификации являются частью планов финансирования (до и более года) и учитываются в процессе составления стратегического и бюджетного планирования.</w:t>
      </w:r>
    </w:p>
    <w:bookmarkEnd w:id="1070"/>
    <w:bookmarkStart w:name="z865" w:id="1071"/>
    <w:p>
      <w:pPr>
        <w:spacing w:after="0"/>
        <w:ind w:left="0"/>
        <w:jc w:val="both"/>
      </w:pPr>
      <w:r>
        <w:rPr>
          <w:rFonts w:ascii="Times New Roman"/>
          <w:b w:val="false"/>
          <w:i w:val="false"/>
          <w:color w:val="000000"/>
          <w:sz w:val="28"/>
        </w:rPr>
        <w:t>
      Совет директоров, комитет по вопросам управления рисками и правление банка информированы о характеристиках и диверсификации источников фондирования и периодически пересматривают стратегию фондирования в целях незамедлительного реагирования на изменения внутренней и внешней среды.</w:t>
      </w:r>
    </w:p>
    <w:bookmarkEnd w:id="1071"/>
    <w:bookmarkStart w:name="z866" w:id="1072"/>
    <w:p>
      <w:pPr>
        <w:spacing w:after="0"/>
        <w:ind w:left="0"/>
        <w:jc w:val="both"/>
      </w:pPr>
      <w:r>
        <w:rPr>
          <w:rFonts w:ascii="Times New Roman"/>
          <w:b w:val="false"/>
          <w:i w:val="false"/>
          <w:color w:val="000000"/>
          <w:sz w:val="28"/>
        </w:rPr>
        <w:t>
      Важным компонентом обеспечения диверсификации фондирования является обеспечение доступа к финансовым рынкам, которое имеет решающее значения в эффективности и возможности привлечения средств вкладчиков и контрагентов. Обеспечение доступа к соответствующим рынкам учитывает, но, не ограничиваясь, следующее:</w:t>
      </w:r>
    </w:p>
    <w:bookmarkEnd w:id="1072"/>
    <w:bookmarkStart w:name="z867" w:id="1073"/>
    <w:p>
      <w:pPr>
        <w:spacing w:after="0"/>
        <w:ind w:left="0"/>
        <w:jc w:val="both"/>
      </w:pPr>
      <w:r>
        <w:rPr>
          <w:rFonts w:ascii="Times New Roman"/>
          <w:b w:val="false"/>
          <w:i w:val="false"/>
          <w:color w:val="000000"/>
          <w:sz w:val="28"/>
        </w:rPr>
        <w:t>
      поддержание присутствия на финансовых рынках, выбранных в целях фондирования;</w:t>
      </w:r>
    </w:p>
    <w:bookmarkEnd w:id="1073"/>
    <w:bookmarkStart w:name="z868" w:id="1074"/>
    <w:p>
      <w:pPr>
        <w:spacing w:after="0"/>
        <w:ind w:left="0"/>
        <w:jc w:val="both"/>
      </w:pPr>
      <w:r>
        <w:rPr>
          <w:rFonts w:ascii="Times New Roman"/>
          <w:b w:val="false"/>
          <w:i w:val="false"/>
          <w:color w:val="000000"/>
          <w:sz w:val="28"/>
        </w:rPr>
        <w:t>
      возможность укрепления присутствия на выбранных рынках финансирования;</w:t>
      </w:r>
    </w:p>
    <w:bookmarkEnd w:id="1074"/>
    <w:bookmarkStart w:name="z869" w:id="1075"/>
    <w:p>
      <w:pPr>
        <w:spacing w:after="0"/>
        <w:ind w:left="0"/>
        <w:jc w:val="both"/>
      </w:pPr>
      <w:r>
        <w:rPr>
          <w:rFonts w:ascii="Times New Roman"/>
          <w:b w:val="false"/>
          <w:i w:val="false"/>
          <w:color w:val="000000"/>
          <w:sz w:val="28"/>
        </w:rPr>
        <w:t>
      выявление, установление, поддержание взаимоотношений с текущими и потенциальными кредиторами, предоставляющими денежные средства;</w:t>
      </w:r>
    </w:p>
    <w:bookmarkEnd w:id="1075"/>
    <w:bookmarkStart w:name="z870" w:id="1076"/>
    <w:p>
      <w:pPr>
        <w:spacing w:after="0"/>
        <w:ind w:left="0"/>
        <w:jc w:val="both"/>
      </w:pPr>
      <w:r>
        <w:rPr>
          <w:rFonts w:ascii="Times New Roman"/>
          <w:b w:val="false"/>
          <w:i w:val="false"/>
          <w:color w:val="000000"/>
          <w:sz w:val="28"/>
        </w:rPr>
        <w:t>
      повышение капитализации банка в целях обеспечения готовности кредиторов поддерживать отношение с банком.</w:t>
      </w:r>
    </w:p>
    <w:bookmarkEnd w:id="1076"/>
    <w:bookmarkStart w:name="z871" w:id="1077"/>
    <w:p>
      <w:pPr>
        <w:spacing w:after="0"/>
        <w:ind w:left="0"/>
        <w:jc w:val="both"/>
      </w:pPr>
      <w:r>
        <w:rPr>
          <w:rFonts w:ascii="Times New Roman"/>
          <w:b w:val="false"/>
          <w:i w:val="false"/>
          <w:color w:val="000000"/>
          <w:sz w:val="28"/>
        </w:rPr>
        <w:t>
      Банк определяет альтернативные источники фондирования, повышающие способность банка противостоять стрессовым ситуациям и кризисам ликвидности. В зависимости от характера, тяжести и продолжительности кризиса ликвидности потенциальные источники финансирования включают, но, не ограничиваясь, следующее:</w:t>
      </w:r>
    </w:p>
    <w:bookmarkEnd w:id="1077"/>
    <w:bookmarkStart w:name="z872" w:id="1078"/>
    <w:p>
      <w:pPr>
        <w:spacing w:after="0"/>
        <w:ind w:left="0"/>
        <w:jc w:val="both"/>
      </w:pPr>
      <w:r>
        <w:rPr>
          <w:rFonts w:ascii="Times New Roman"/>
          <w:b w:val="false"/>
          <w:i w:val="false"/>
          <w:color w:val="000000"/>
          <w:sz w:val="28"/>
        </w:rPr>
        <w:t>
      рост депозитов;</w:t>
      </w:r>
    </w:p>
    <w:bookmarkEnd w:id="1078"/>
    <w:bookmarkStart w:name="z873" w:id="1079"/>
    <w:p>
      <w:pPr>
        <w:spacing w:after="0"/>
        <w:ind w:left="0"/>
        <w:jc w:val="both"/>
      </w:pPr>
      <w:r>
        <w:rPr>
          <w:rFonts w:ascii="Times New Roman"/>
          <w:b w:val="false"/>
          <w:i w:val="false"/>
          <w:color w:val="000000"/>
          <w:sz w:val="28"/>
        </w:rPr>
        <w:t>
      пролонгация сроков погашения обязательств;</w:t>
      </w:r>
    </w:p>
    <w:bookmarkEnd w:id="1079"/>
    <w:bookmarkStart w:name="z874" w:id="1080"/>
    <w:p>
      <w:pPr>
        <w:spacing w:after="0"/>
        <w:ind w:left="0"/>
        <w:jc w:val="both"/>
      </w:pPr>
      <w:r>
        <w:rPr>
          <w:rFonts w:ascii="Times New Roman"/>
          <w:b w:val="false"/>
          <w:i w:val="false"/>
          <w:color w:val="000000"/>
          <w:sz w:val="28"/>
        </w:rPr>
        <w:t>
      эмиссия краткосрочных и долгосрочных долговых инструментов;</w:t>
      </w:r>
    </w:p>
    <w:bookmarkEnd w:id="1080"/>
    <w:bookmarkStart w:name="z875" w:id="1081"/>
    <w:p>
      <w:pPr>
        <w:spacing w:after="0"/>
        <w:ind w:left="0"/>
        <w:jc w:val="both"/>
      </w:pPr>
      <w:r>
        <w:rPr>
          <w:rFonts w:ascii="Times New Roman"/>
          <w:b w:val="false"/>
          <w:i w:val="false"/>
          <w:color w:val="000000"/>
          <w:sz w:val="28"/>
        </w:rPr>
        <w:t>
      внутригрупповые переводы средств, продажа дочерних компаний или направлений бизнеса;</w:t>
      </w:r>
    </w:p>
    <w:bookmarkEnd w:id="1081"/>
    <w:bookmarkStart w:name="z876" w:id="1082"/>
    <w:p>
      <w:pPr>
        <w:spacing w:after="0"/>
        <w:ind w:left="0"/>
        <w:jc w:val="both"/>
      </w:pPr>
      <w:r>
        <w:rPr>
          <w:rFonts w:ascii="Times New Roman"/>
          <w:b w:val="false"/>
          <w:i w:val="false"/>
          <w:color w:val="000000"/>
          <w:sz w:val="28"/>
        </w:rPr>
        <w:t>
      секьюритизация активов;</w:t>
      </w:r>
    </w:p>
    <w:bookmarkEnd w:id="1082"/>
    <w:bookmarkStart w:name="z877" w:id="1083"/>
    <w:p>
      <w:pPr>
        <w:spacing w:after="0"/>
        <w:ind w:left="0"/>
        <w:jc w:val="both"/>
      </w:pPr>
      <w:r>
        <w:rPr>
          <w:rFonts w:ascii="Times New Roman"/>
          <w:b w:val="false"/>
          <w:i w:val="false"/>
          <w:color w:val="000000"/>
          <w:sz w:val="28"/>
        </w:rPr>
        <w:t>
      продажа имеющихся высоколиквидных активов или заключение сделок репо;</w:t>
      </w:r>
    </w:p>
    <w:bookmarkEnd w:id="1083"/>
    <w:bookmarkStart w:name="z878" w:id="1084"/>
    <w:p>
      <w:pPr>
        <w:spacing w:after="0"/>
        <w:ind w:left="0"/>
        <w:jc w:val="both"/>
      </w:pPr>
      <w:r>
        <w:rPr>
          <w:rFonts w:ascii="Times New Roman"/>
          <w:b w:val="false"/>
          <w:i w:val="false"/>
          <w:color w:val="000000"/>
          <w:sz w:val="28"/>
        </w:rPr>
        <w:t>
      сдерживание увеличения объемов по основным направлениям деятельности (например, замедление выдачи кредитов).</w:t>
      </w:r>
    </w:p>
    <w:bookmarkEnd w:id="1084"/>
    <w:bookmarkStart w:name="z879" w:id="1085"/>
    <w:p>
      <w:pPr>
        <w:spacing w:after="0"/>
        <w:ind w:left="0"/>
        <w:jc w:val="both"/>
      </w:pPr>
      <w:r>
        <w:rPr>
          <w:rFonts w:ascii="Times New Roman"/>
          <w:b w:val="false"/>
          <w:i w:val="false"/>
          <w:color w:val="000000"/>
          <w:sz w:val="28"/>
        </w:rPr>
        <w:t>
      Совет директоров банка, комитет по вопросам управления рисками и правление периодически оценивают и контролируют способность по оперативному привлечению средств из каждого источника фондирования в целях оценки эффективности при обеспечении ликвидности в перспективе.</w:t>
      </w:r>
    </w:p>
    <w:bookmarkEnd w:id="1085"/>
    <w:bookmarkStart w:name="z880" w:id="1086"/>
    <w:p>
      <w:pPr>
        <w:spacing w:after="0"/>
        <w:ind w:left="0"/>
        <w:jc w:val="both"/>
      </w:pPr>
      <w:r>
        <w:rPr>
          <w:rFonts w:ascii="Times New Roman"/>
          <w:b w:val="false"/>
          <w:i w:val="false"/>
          <w:color w:val="000000"/>
          <w:sz w:val="28"/>
        </w:rPr>
        <w:t>
      Совет директоров банка утверждает план финансирования, в котором четко определен процесс устранения дефицита ликвидности в чрезвычайных ситуациях. План финансирования соответствует масштабу деятельности банка, профилю рисков, видам и сложности операций, объему активов и роли банка в финансовой системе. План финансирования включает четкое описание диверсифицированного набора адекватных, доступных, реализуемых потенциальных мер по обеспечению непредвиденных расходов для сохранения ликвидности и сокращения дефицита денежных средств в различных неблагоприятных ситуациях.</w:t>
      </w:r>
    </w:p>
    <w:bookmarkEnd w:id="1086"/>
    <w:bookmarkStart w:name="z881" w:id="1087"/>
    <w:p>
      <w:pPr>
        <w:spacing w:after="0"/>
        <w:ind w:left="0"/>
        <w:jc w:val="both"/>
      </w:pPr>
      <w:r>
        <w:rPr>
          <w:rFonts w:ascii="Times New Roman"/>
          <w:b w:val="false"/>
          <w:i w:val="false"/>
          <w:color w:val="000000"/>
          <w:sz w:val="28"/>
        </w:rPr>
        <w:t>
      План финансирования содержит:</w:t>
      </w:r>
    </w:p>
    <w:bookmarkEnd w:id="1087"/>
    <w:bookmarkStart w:name="z882" w:id="1088"/>
    <w:p>
      <w:pPr>
        <w:spacing w:after="0"/>
        <w:ind w:left="0"/>
        <w:jc w:val="both"/>
      </w:pPr>
      <w:r>
        <w:rPr>
          <w:rFonts w:ascii="Times New Roman"/>
          <w:b w:val="false"/>
          <w:i w:val="false"/>
          <w:color w:val="000000"/>
          <w:sz w:val="28"/>
        </w:rPr>
        <w:t>
      четко определенные и доступные источники финансирования на случай непредвиденных обстоятельств, с оценкой возможного размера средств, которые привлекаются из этих источников;</w:t>
      </w:r>
    </w:p>
    <w:bookmarkEnd w:id="1088"/>
    <w:bookmarkStart w:name="z883" w:id="1089"/>
    <w:p>
      <w:pPr>
        <w:spacing w:after="0"/>
        <w:ind w:left="0"/>
        <w:jc w:val="both"/>
      </w:pPr>
      <w:r>
        <w:rPr>
          <w:rFonts w:ascii="Times New Roman"/>
          <w:b w:val="false"/>
          <w:i w:val="false"/>
          <w:color w:val="000000"/>
          <w:sz w:val="28"/>
        </w:rPr>
        <w:t>
      время, необходимое для привлечения дополнительных средств от каждого из источников финансирования непредвиденных обстоятельств;</w:t>
      </w:r>
    </w:p>
    <w:bookmarkEnd w:id="1089"/>
    <w:bookmarkStart w:name="z884" w:id="1090"/>
    <w:p>
      <w:pPr>
        <w:spacing w:after="0"/>
        <w:ind w:left="0"/>
        <w:jc w:val="both"/>
      </w:pPr>
      <w:r>
        <w:rPr>
          <w:rFonts w:ascii="Times New Roman"/>
          <w:b w:val="false"/>
          <w:i w:val="false"/>
          <w:color w:val="000000"/>
          <w:sz w:val="28"/>
        </w:rPr>
        <w:t>
      четкие операционные процедуры, регламентирующие:</w:t>
      </w:r>
    </w:p>
    <w:bookmarkEnd w:id="1090"/>
    <w:bookmarkStart w:name="z885" w:id="1091"/>
    <w:p>
      <w:pPr>
        <w:spacing w:after="0"/>
        <w:ind w:left="0"/>
        <w:jc w:val="both"/>
      </w:pPr>
      <w:r>
        <w:rPr>
          <w:rFonts w:ascii="Times New Roman"/>
          <w:b w:val="false"/>
          <w:i w:val="false"/>
          <w:color w:val="000000"/>
          <w:sz w:val="28"/>
        </w:rPr>
        <w:t>
      формирование состава лиц (органов, подразделений) банка, ответственных за разработку и внедрение плана финансирования, с указанием полномочий и сфер их ответственности с целью обеспечения внутренней координации и коммуникации;</w:t>
      </w:r>
    </w:p>
    <w:bookmarkEnd w:id="1091"/>
    <w:bookmarkStart w:name="z886" w:id="1092"/>
    <w:p>
      <w:pPr>
        <w:spacing w:after="0"/>
        <w:ind w:left="0"/>
        <w:jc w:val="both"/>
      </w:pPr>
      <w:r>
        <w:rPr>
          <w:rFonts w:ascii="Times New Roman"/>
          <w:b w:val="false"/>
          <w:i w:val="false"/>
          <w:color w:val="000000"/>
          <w:sz w:val="28"/>
        </w:rPr>
        <w:t>
      подробный алгоритм действий и их приоритезацию в отношении того какие действия необходимо предпринять, кто ответственен за их принятие, когда и каким образом реализуются эти действия;</w:t>
      </w:r>
    </w:p>
    <w:bookmarkEnd w:id="1092"/>
    <w:bookmarkStart w:name="z887" w:id="1093"/>
    <w:p>
      <w:pPr>
        <w:spacing w:after="0"/>
        <w:ind w:left="0"/>
        <w:jc w:val="both"/>
      </w:pPr>
      <w:r>
        <w:rPr>
          <w:rFonts w:ascii="Times New Roman"/>
          <w:b w:val="false"/>
          <w:i w:val="false"/>
          <w:color w:val="000000"/>
          <w:sz w:val="28"/>
        </w:rPr>
        <w:t>
      несколько вариантов реализации разных стрессовых ситуаций.</w:t>
      </w:r>
    </w:p>
    <w:bookmarkEnd w:id="1093"/>
    <w:bookmarkStart w:name="z888" w:id="1094"/>
    <w:p>
      <w:pPr>
        <w:spacing w:after="0"/>
        <w:ind w:left="0"/>
        <w:jc w:val="both"/>
      </w:pPr>
      <w:r>
        <w:rPr>
          <w:rFonts w:ascii="Times New Roman"/>
          <w:b w:val="false"/>
          <w:i w:val="false"/>
          <w:color w:val="000000"/>
          <w:sz w:val="28"/>
        </w:rPr>
        <w:t>
      В целях обеспечения операционной надежности план финансирования подвергается регулярному тестированию и обновлению.</w:t>
      </w:r>
    </w:p>
    <w:bookmarkEnd w:id="1094"/>
    <w:bookmarkStart w:name="z889" w:id="1095"/>
    <w:p>
      <w:pPr>
        <w:spacing w:after="0"/>
        <w:ind w:left="0"/>
        <w:jc w:val="both"/>
      </w:pPr>
      <w:r>
        <w:rPr>
          <w:rFonts w:ascii="Times New Roman"/>
          <w:b w:val="false"/>
          <w:i w:val="false"/>
          <w:color w:val="000000"/>
          <w:sz w:val="28"/>
        </w:rPr>
        <w:t>
      59. Банк располагает постоянным запасом необремененных высоколиквидных активов, которые можно в кратчайшие сроки использовать без значительных потерь и дисконтов при различных стрессовых сценариях, включая события, влекущие за собой потерю доступа или снижение объемов ликвидных средств, предоставляемых кредиторами, в том числе под обеспечение, а также размещаемых вкладчиками.</w:t>
      </w:r>
    </w:p>
    <w:bookmarkEnd w:id="1095"/>
    <w:bookmarkStart w:name="z890" w:id="1096"/>
    <w:p>
      <w:pPr>
        <w:spacing w:after="0"/>
        <w:ind w:left="0"/>
        <w:jc w:val="both"/>
      </w:pPr>
      <w:r>
        <w:rPr>
          <w:rFonts w:ascii="Times New Roman"/>
          <w:b w:val="false"/>
          <w:i w:val="false"/>
          <w:color w:val="000000"/>
          <w:sz w:val="28"/>
        </w:rPr>
        <w:t>
      Необходимый запас ликвидности сопоставим с установленным риск аппетитом банка по риску ликвидности. Для этого требуется определение необходимого размера запаса необремененных высоколиквидных активов к оценкам потребностей в ликвидности в условиях стресса. Оценка потребности в ликвидности в текущих условиях и в периоды стресса включает:</w:t>
      </w:r>
    </w:p>
    <w:bookmarkEnd w:id="1096"/>
    <w:bookmarkStart w:name="z891" w:id="1097"/>
    <w:p>
      <w:pPr>
        <w:spacing w:after="0"/>
        <w:ind w:left="0"/>
        <w:jc w:val="both"/>
      </w:pPr>
      <w:r>
        <w:rPr>
          <w:rFonts w:ascii="Times New Roman"/>
          <w:b w:val="false"/>
          <w:i w:val="false"/>
          <w:color w:val="000000"/>
          <w:sz w:val="28"/>
        </w:rPr>
        <w:t>
      как договорные, так и недоговорные денежные оттоки (притоки);</w:t>
      </w:r>
    </w:p>
    <w:bookmarkEnd w:id="1097"/>
    <w:bookmarkStart w:name="z892" w:id="1098"/>
    <w:p>
      <w:pPr>
        <w:spacing w:after="0"/>
        <w:ind w:left="0"/>
        <w:jc w:val="both"/>
      </w:pPr>
      <w:r>
        <w:rPr>
          <w:rFonts w:ascii="Times New Roman"/>
          <w:b w:val="false"/>
          <w:i w:val="false"/>
          <w:color w:val="000000"/>
          <w:sz w:val="28"/>
        </w:rPr>
        <w:t>
      безусловное требование вкладчиков по изъятию средств;</w:t>
      </w:r>
    </w:p>
    <w:bookmarkEnd w:id="1098"/>
    <w:bookmarkStart w:name="z893" w:id="1099"/>
    <w:p>
      <w:pPr>
        <w:spacing w:after="0"/>
        <w:ind w:left="0"/>
        <w:jc w:val="both"/>
      </w:pPr>
      <w:r>
        <w:rPr>
          <w:rFonts w:ascii="Times New Roman"/>
          <w:b w:val="false"/>
          <w:i w:val="false"/>
          <w:color w:val="000000"/>
          <w:sz w:val="28"/>
        </w:rPr>
        <w:t>
      и учитывает неспособность получить необеспеченное финансирование, а также потерю или снижение доступа к ликвидным средствам.</w:t>
      </w:r>
    </w:p>
    <w:bookmarkEnd w:id="1099"/>
    <w:bookmarkStart w:name="z894" w:id="1100"/>
    <w:p>
      <w:pPr>
        <w:spacing w:after="0"/>
        <w:ind w:left="0"/>
        <w:jc w:val="both"/>
      </w:pPr>
      <w:r>
        <w:rPr>
          <w:rFonts w:ascii="Times New Roman"/>
          <w:b w:val="false"/>
          <w:i w:val="false"/>
          <w:color w:val="000000"/>
          <w:sz w:val="28"/>
        </w:rPr>
        <w:t>
      Необходимый запас ликвидности в основном формируется из наиболее высококачественных ликвидных активов, таких как:</w:t>
      </w:r>
    </w:p>
    <w:bookmarkEnd w:id="1100"/>
    <w:bookmarkStart w:name="z895" w:id="1101"/>
    <w:p>
      <w:pPr>
        <w:spacing w:after="0"/>
        <w:ind w:left="0"/>
        <w:jc w:val="both"/>
      </w:pPr>
      <w:r>
        <w:rPr>
          <w:rFonts w:ascii="Times New Roman"/>
          <w:b w:val="false"/>
          <w:i w:val="false"/>
          <w:color w:val="000000"/>
          <w:sz w:val="28"/>
        </w:rPr>
        <w:t>
      денежные средства;</w:t>
      </w:r>
    </w:p>
    <w:bookmarkEnd w:id="1101"/>
    <w:bookmarkStart w:name="z896" w:id="1102"/>
    <w:p>
      <w:pPr>
        <w:spacing w:after="0"/>
        <w:ind w:left="0"/>
        <w:jc w:val="both"/>
      </w:pPr>
      <w:r>
        <w:rPr>
          <w:rFonts w:ascii="Times New Roman"/>
          <w:b w:val="false"/>
          <w:i w:val="false"/>
          <w:color w:val="000000"/>
          <w:sz w:val="28"/>
        </w:rPr>
        <w:t>
      ликвидные государственные ценные бумаги;</w:t>
      </w:r>
    </w:p>
    <w:bookmarkEnd w:id="1102"/>
    <w:bookmarkStart w:name="z897" w:id="1103"/>
    <w:p>
      <w:pPr>
        <w:spacing w:after="0"/>
        <w:ind w:left="0"/>
        <w:jc w:val="both"/>
      </w:pPr>
      <w:r>
        <w:rPr>
          <w:rFonts w:ascii="Times New Roman"/>
          <w:b w:val="false"/>
          <w:i w:val="false"/>
          <w:color w:val="000000"/>
          <w:sz w:val="28"/>
        </w:rPr>
        <w:t>
      финансовые инструменты, возможные к реализации в периоды наиболее негативных сценариев стресса и менее негативных в виде необремененных ликвидных активов, реализуемых или использующихся в качестве обеспечения без значительных потерь или дисконта.</w:t>
      </w:r>
    </w:p>
    <w:bookmarkEnd w:id="1103"/>
    <w:bookmarkStart w:name="z898" w:id="1104"/>
    <w:p>
      <w:pPr>
        <w:spacing w:after="0"/>
        <w:ind w:left="0"/>
        <w:jc w:val="both"/>
      </w:pPr>
      <w:r>
        <w:rPr>
          <w:rFonts w:ascii="Times New Roman"/>
          <w:b w:val="false"/>
          <w:i w:val="false"/>
          <w:color w:val="000000"/>
          <w:sz w:val="28"/>
        </w:rPr>
        <w:t>
      Общие характеристики определения высоколиквидных активов включают:</w:t>
      </w:r>
    </w:p>
    <w:bookmarkEnd w:id="1104"/>
    <w:bookmarkStart w:name="z899" w:id="1105"/>
    <w:p>
      <w:pPr>
        <w:spacing w:after="0"/>
        <w:ind w:left="0"/>
        <w:jc w:val="both"/>
      </w:pPr>
      <w:r>
        <w:rPr>
          <w:rFonts w:ascii="Times New Roman"/>
          <w:b w:val="false"/>
          <w:i w:val="false"/>
          <w:color w:val="000000"/>
          <w:sz w:val="28"/>
        </w:rPr>
        <w:t>
      прозрачность его структуры и характеристики риска;</w:t>
      </w:r>
    </w:p>
    <w:bookmarkEnd w:id="1105"/>
    <w:bookmarkStart w:name="z900" w:id="1106"/>
    <w:p>
      <w:pPr>
        <w:spacing w:after="0"/>
        <w:ind w:left="0"/>
        <w:jc w:val="both"/>
      </w:pPr>
      <w:r>
        <w:rPr>
          <w:rFonts w:ascii="Times New Roman"/>
          <w:b w:val="false"/>
          <w:i w:val="false"/>
          <w:color w:val="000000"/>
          <w:sz w:val="28"/>
        </w:rPr>
        <w:t>
      легкость и определенность оценки;</w:t>
      </w:r>
    </w:p>
    <w:bookmarkEnd w:id="1106"/>
    <w:bookmarkStart w:name="z901" w:id="1107"/>
    <w:p>
      <w:pPr>
        <w:spacing w:after="0"/>
        <w:ind w:left="0"/>
        <w:jc w:val="both"/>
      </w:pPr>
      <w:r>
        <w:rPr>
          <w:rFonts w:ascii="Times New Roman"/>
          <w:b w:val="false"/>
          <w:i w:val="false"/>
          <w:color w:val="000000"/>
          <w:sz w:val="28"/>
        </w:rPr>
        <w:t>
      существование ликвидного рынка для данного актива во всех сценариях стресса;</w:t>
      </w:r>
    </w:p>
    <w:bookmarkEnd w:id="1107"/>
    <w:bookmarkStart w:name="z902" w:id="1108"/>
    <w:p>
      <w:pPr>
        <w:spacing w:after="0"/>
        <w:ind w:left="0"/>
        <w:jc w:val="both"/>
      </w:pPr>
      <w:r>
        <w:rPr>
          <w:rFonts w:ascii="Times New Roman"/>
          <w:b w:val="false"/>
          <w:i w:val="false"/>
          <w:color w:val="000000"/>
          <w:sz w:val="28"/>
        </w:rPr>
        <w:t>
      доступные объемы рынка для актива, включая запасы банка относительно нормального рыночного оборота;</w:t>
      </w:r>
    </w:p>
    <w:bookmarkEnd w:id="1108"/>
    <w:bookmarkStart w:name="z903" w:id="1109"/>
    <w:p>
      <w:pPr>
        <w:spacing w:after="0"/>
        <w:ind w:left="0"/>
        <w:jc w:val="both"/>
      </w:pPr>
      <w:r>
        <w:rPr>
          <w:rFonts w:ascii="Times New Roman"/>
          <w:b w:val="false"/>
          <w:i w:val="false"/>
          <w:color w:val="000000"/>
          <w:sz w:val="28"/>
        </w:rPr>
        <w:t>
      отсутствие правовых, нормативных или операционных препятствий для использования этих активов в целях получения финансирования в любое время для удовлетворения потребностей в ликвидности.</w:t>
      </w:r>
    </w:p>
    <w:bookmarkEnd w:id="1109"/>
    <w:bookmarkStart w:name="z904" w:id="1110"/>
    <w:p>
      <w:pPr>
        <w:spacing w:after="0"/>
        <w:ind w:left="0"/>
        <w:jc w:val="both"/>
      </w:pPr>
      <w:r>
        <w:rPr>
          <w:rFonts w:ascii="Times New Roman"/>
          <w:b w:val="false"/>
          <w:i w:val="false"/>
          <w:color w:val="000000"/>
          <w:sz w:val="28"/>
        </w:rPr>
        <w:t>
      Эффективное управление залоговым обеспечением производится посредством следующих, но, не ограничиваясь ими, процедур, определяющих:</w:t>
      </w:r>
    </w:p>
    <w:bookmarkEnd w:id="1110"/>
    <w:bookmarkStart w:name="z905" w:id="1111"/>
    <w:p>
      <w:pPr>
        <w:spacing w:after="0"/>
        <w:ind w:left="0"/>
        <w:jc w:val="both"/>
      </w:pPr>
      <w:r>
        <w:rPr>
          <w:rFonts w:ascii="Times New Roman"/>
          <w:b w:val="false"/>
          <w:i w:val="false"/>
          <w:color w:val="000000"/>
          <w:sz w:val="28"/>
        </w:rPr>
        <w:t>
      оценку потребностей банка в активах, которые необходимо использовать в качестве залога, включая активы, которые в настоящее время переданы в залог, с учетом сроков их высвобождения;</w:t>
      </w:r>
    </w:p>
    <w:bookmarkEnd w:id="1111"/>
    <w:bookmarkStart w:name="z906" w:id="1112"/>
    <w:p>
      <w:pPr>
        <w:spacing w:after="0"/>
        <w:ind w:left="0"/>
        <w:jc w:val="both"/>
      </w:pPr>
      <w:r>
        <w:rPr>
          <w:rFonts w:ascii="Times New Roman"/>
          <w:b w:val="false"/>
          <w:i w:val="false"/>
          <w:color w:val="000000"/>
          <w:sz w:val="28"/>
        </w:rPr>
        <w:t>
      оценку соответствия каждого вида того или иного актива для использования в качестве залогового обеспечения по отношению к каждому типу основных контрагентов и рынков обеспеченного финансирования;</w:t>
      </w:r>
    </w:p>
    <w:bookmarkEnd w:id="1112"/>
    <w:bookmarkStart w:name="z907" w:id="1113"/>
    <w:p>
      <w:pPr>
        <w:spacing w:after="0"/>
        <w:ind w:left="0"/>
        <w:jc w:val="both"/>
      </w:pPr>
      <w:r>
        <w:rPr>
          <w:rFonts w:ascii="Times New Roman"/>
          <w:b w:val="false"/>
          <w:i w:val="false"/>
          <w:color w:val="000000"/>
          <w:sz w:val="28"/>
        </w:rPr>
        <w:t>
      диверсификацию активов, которые необходимо использовать в качестве залога, в разрезе эмитента, объема относительно возможностей финансового рынка и контрагентов, чувствительности цен во избежание чрезмерной концентрации, а также с учетом различных сценариев рыночного стресса;</w:t>
      </w:r>
    </w:p>
    <w:bookmarkEnd w:id="1113"/>
    <w:bookmarkStart w:name="z908" w:id="1114"/>
    <w:p>
      <w:pPr>
        <w:spacing w:after="0"/>
        <w:ind w:left="0"/>
        <w:jc w:val="both"/>
      </w:pPr>
      <w:r>
        <w:rPr>
          <w:rFonts w:ascii="Times New Roman"/>
          <w:b w:val="false"/>
          <w:i w:val="false"/>
          <w:color w:val="000000"/>
          <w:sz w:val="28"/>
        </w:rPr>
        <w:t>
      мониторинг залогового обеспечения в разрезе эмитентов, географического расположения, валют, в целях осуществления оценки того как оперативно мобилизуются активы в случае необходимости.</w:t>
      </w:r>
    </w:p>
    <w:bookmarkEnd w:id="1114"/>
    <w:bookmarkStart w:name="z909" w:id="1115"/>
    <w:p>
      <w:pPr>
        <w:spacing w:after="0"/>
        <w:ind w:left="0"/>
        <w:jc w:val="both"/>
      </w:pPr>
      <w:r>
        <w:rPr>
          <w:rFonts w:ascii="Times New Roman"/>
          <w:b w:val="false"/>
          <w:i w:val="false"/>
          <w:color w:val="000000"/>
          <w:sz w:val="28"/>
        </w:rPr>
        <w:t>
      60. Система стресс-тестирования включает анализ используемых видов стресс-тестирования, сценарии стресс-тестирования, применимых допущений, методологической базы для проверки устойчивости показателя достаточности ликвидности в случае изменения рыночных условий и мер управления.</w:t>
      </w:r>
    </w:p>
    <w:bookmarkEnd w:id="1115"/>
    <w:bookmarkStart w:name="z910" w:id="1116"/>
    <w:p>
      <w:pPr>
        <w:spacing w:after="0"/>
        <w:ind w:left="0"/>
        <w:jc w:val="both"/>
      </w:pPr>
      <w:r>
        <w:rPr>
          <w:rFonts w:ascii="Times New Roman"/>
          <w:b w:val="false"/>
          <w:i w:val="false"/>
          <w:color w:val="000000"/>
          <w:sz w:val="28"/>
        </w:rPr>
        <w:t>
      Банк на периодической основе проводит стресс-тестирование по различным факторам краткосрочных и долгосрочных сценариев, ориентированных как на специфику банка, так и на масштабные рыночные стрессы и совмещение обоих сценариев с целью анализа и количественной оценки их воздействия на уровень ликвидности, на денежные потоки банка, прибыльность и платежеспособность.</w:t>
      </w:r>
    </w:p>
    <w:bookmarkEnd w:id="1116"/>
    <w:bookmarkStart w:name="z911" w:id="1117"/>
    <w:p>
      <w:pPr>
        <w:spacing w:after="0"/>
        <w:ind w:left="0"/>
        <w:jc w:val="both"/>
      </w:pPr>
      <w:r>
        <w:rPr>
          <w:rFonts w:ascii="Times New Roman"/>
          <w:b w:val="false"/>
          <w:i w:val="false"/>
          <w:color w:val="000000"/>
          <w:sz w:val="28"/>
        </w:rPr>
        <w:t xml:space="preserve">
      Результаты проведенных стресс-тестирований рассматриваются советом директоров банка. По результатам рассмотрения принимаются меры по устранению или смягчению последствий для ограничения воздействий на банк, создания необходимого запаса ликвидности и корректировки уровня ликвидности. </w:t>
      </w:r>
    </w:p>
    <w:bookmarkEnd w:id="1117"/>
    <w:bookmarkStart w:name="z912" w:id="1118"/>
    <w:p>
      <w:pPr>
        <w:spacing w:after="0"/>
        <w:ind w:left="0"/>
        <w:jc w:val="both"/>
      </w:pPr>
      <w:r>
        <w:rPr>
          <w:rFonts w:ascii="Times New Roman"/>
          <w:b w:val="false"/>
          <w:i w:val="false"/>
          <w:color w:val="000000"/>
          <w:sz w:val="28"/>
        </w:rPr>
        <w:t>
      Результаты стресс-тестирований играют ключевую роль в формировании плана финансирования банка и в определении стратегии и ВПОДЛ.</w:t>
      </w:r>
    </w:p>
    <w:bookmarkEnd w:id="1118"/>
    <w:bookmarkStart w:name="z913" w:id="1119"/>
    <w:p>
      <w:pPr>
        <w:spacing w:after="0"/>
        <w:ind w:left="0"/>
        <w:jc w:val="both"/>
      </w:pPr>
      <w:r>
        <w:rPr>
          <w:rFonts w:ascii="Times New Roman"/>
          <w:b w:val="false"/>
          <w:i w:val="false"/>
          <w:color w:val="000000"/>
          <w:sz w:val="28"/>
        </w:rPr>
        <w:t>
      Процесс проведения стресс-тестирования включает следующее:</w:t>
      </w:r>
    </w:p>
    <w:bookmarkEnd w:id="1119"/>
    <w:bookmarkStart w:name="z914" w:id="1120"/>
    <w:p>
      <w:pPr>
        <w:spacing w:after="0"/>
        <w:ind w:left="0"/>
        <w:jc w:val="both"/>
      </w:pPr>
      <w:r>
        <w:rPr>
          <w:rFonts w:ascii="Times New Roman"/>
          <w:b w:val="false"/>
          <w:i w:val="false"/>
          <w:color w:val="000000"/>
          <w:sz w:val="28"/>
        </w:rPr>
        <w:t>
      банк анализирует влияние стресс-сценариев на позицию ликвидности, оценивает уровень возникновения риска ликвидности при изменении внутренней и внешней среды, в разные временные периоды (краткосрочный, долгосрочный), в том числе на внутридневной основе;</w:t>
      </w:r>
    </w:p>
    <w:bookmarkEnd w:id="1120"/>
    <w:bookmarkStart w:name="z915" w:id="1121"/>
    <w:p>
      <w:pPr>
        <w:spacing w:after="0"/>
        <w:ind w:left="0"/>
        <w:jc w:val="both"/>
      </w:pPr>
      <w:r>
        <w:rPr>
          <w:rFonts w:ascii="Times New Roman"/>
          <w:b w:val="false"/>
          <w:i w:val="false"/>
          <w:color w:val="000000"/>
          <w:sz w:val="28"/>
        </w:rPr>
        <w:t>
      степень и частота проведения стресс-тестирования соответствует выбранной бизнес-модели, масштабу деятельности, видам и сложности операций, а также роли банка в финансовой системе. Банк располагает возможностью увеличения частоты проведения стресс-тестирований в ухудшающихся рыночных условиях или по требованию совета директоров банка или комитета по вопросам управления рисками;</w:t>
      </w:r>
    </w:p>
    <w:bookmarkEnd w:id="1121"/>
    <w:bookmarkStart w:name="z916" w:id="1122"/>
    <w:p>
      <w:pPr>
        <w:spacing w:after="0"/>
        <w:ind w:left="0"/>
        <w:jc w:val="both"/>
      </w:pPr>
      <w:r>
        <w:rPr>
          <w:rFonts w:ascii="Times New Roman"/>
          <w:b w:val="false"/>
          <w:i w:val="false"/>
          <w:color w:val="000000"/>
          <w:sz w:val="28"/>
        </w:rPr>
        <w:t>
      совет директоров банка принимает участие в процессе стресс-тестирования в части утверждения процедур проведения стресс-тестирований, сценариев (в том числе рассматривает консервативные сценарии стресс-сценариев даже в периоды профицита ликвидности), оценки результатов и в результате принятия мер по минимизации выявленного в ходе стресс-тестирования риска ликвидности;</w:t>
      </w:r>
    </w:p>
    <w:bookmarkEnd w:id="1122"/>
    <w:bookmarkStart w:name="z917" w:id="1123"/>
    <w:p>
      <w:pPr>
        <w:spacing w:after="0"/>
        <w:ind w:left="0"/>
        <w:jc w:val="both"/>
      </w:pPr>
      <w:r>
        <w:rPr>
          <w:rFonts w:ascii="Times New Roman"/>
          <w:b w:val="false"/>
          <w:i w:val="false"/>
          <w:color w:val="000000"/>
          <w:sz w:val="28"/>
        </w:rPr>
        <w:t>
      банк учитывает в стресс-тестировании вероятную поведенческую реакцию других участников рынка на события рыночного стресса и степень, в которой общий результат усиливает движение рынка и усугубляет рыночную нагрузку.</w:t>
      </w:r>
    </w:p>
    <w:bookmarkEnd w:id="1123"/>
    <w:bookmarkStart w:name="z918" w:id="1124"/>
    <w:p>
      <w:pPr>
        <w:spacing w:after="0"/>
        <w:ind w:left="0"/>
        <w:jc w:val="both"/>
      </w:pPr>
      <w:r>
        <w:rPr>
          <w:rFonts w:ascii="Times New Roman"/>
          <w:b w:val="false"/>
          <w:i w:val="false"/>
          <w:color w:val="000000"/>
          <w:sz w:val="28"/>
        </w:rPr>
        <w:t>
      При разработке сценариев и допущений стресс-тестирования банк руководствуется следующим:</w:t>
      </w:r>
    </w:p>
    <w:bookmarkEnd w:id="1124"/>
    <w:bookmarkStart w:name="z919" w:id="1125"/>
    <w:p>
      <w:pPr>
        <w:spacing w:after="0"/>
        <w:ind w:left="0"/>
        <w:jc w:val="both"/>
      </w:pPr>
      <w:r>
        <w:rPr>
          <w:rFonts w:ascii="Times New Roman"/>
          <w:b w:val="false"/>
          <w:i w:val="false"/>
          <w:color w:val="000000"/>
          <w:sz w:val="28"/>
        </w:rPr>
        <w:t>
      сценарии включают все основные риски фондирования и ликвидности на рынке, которым потенциально подвержен банк;</w:t>
      </w:r>
    </w:p>
    <w:bookmarkEnd w:id="1125"/>
    <w:bookmarkStart w:name="z920" w:id="1126"/>
    <w:p>
      <w:pPr>
        <w:spacing w:after="0"/>
        <w:ind w:left="0"/>
        <w:jc w:val="both"/>
      </w:pPr>
      <w:r>
        <w:rPr>
          <w:rFonts w:ascii="Times New Roman"/>
          <w:b w:val="false"/>
          <w:i w:val="false"/>
          <w:color w:val="000000"/>
          <w:sz w:val="28"/>
        </w:rPr>
        <w:t>
      банк рассматривает краткосрочные и затяжные, а также идиосинкразические и рыночные сценарии, вне зависимости от того насколько высок уровень ликвидности на текущий момент, в том числе:</w:t>
      </w:r>
    </w:p>
    <w:bookmarkEnd w:id="1126"/>
    <w:bookmarkStart w:name="z921" w:id="1127"/>
    <w:p>
      <w:pPr>
        <w:spacing w:after="0"/>
        <w:ind w:left="0"/>
        <w:jc w:val="both"/>
      </w:pPr>
      <w:r>
        <w:rPr>
          <w:rFonts w:ascii="Times New Roman"/>
          <w:b w:val="false"/>
          <w:i w:val="false"/>
          <w:color w:val="000000"/>
          <w:sz w:val="28"/>
        </w:rPr>
        <w:t xml:space="preserve">
      одновременное отсутствие ликвидности на нескольких ранее высоколиквидных рынках; </w:t>
      </w:r>
    </w:p>
    <w:bookmarkEnd w:id="1127"/>
    <w:bookmarkStart w:name="z922" w:id="1128"/>
    <w:p>
      <w:pPr>
        <w:spacing w:after="0"/>
        <w:ind w:left="0"/>
        <w:jc w:val="both"/>
      </w:pPr>
      <w:r>
        <w:rPr>
          <w:rFonts w:ascii="Times New Roman"/>
          <w:b w:val="false"/>
          <w:i w:val="false"/>
          <w:color w:val="000000"/>
          <w:sz w:val="28"/>
        </w:rPr>
        <w:t xml:space="preserve">
      серьезные трудности к доступу обеспеченного и необеспеченного фондирования; </w:t>
      </w:r>
    </w:p>
    <w:bookmarkEnd w:id="1128"/>
    <w:bookmarkStart w:name="z923" w:id="1129"/>
    <w:p>
      <w:pPr>
        <w:spacing w:after="0"/>
        <w:ind w:left="0"/>
        <w:jc w:val="both"/>
      </w:pPr>
      <w:r>
        <w:rPr>
          <w:rFonts w:ascii="Times New Roman"/>
          <w:b w:val="false"/>
          <w:i w:val="false"/>
          <w:color w:val="000000"/>
          <w:sz w:val="28"/>
        </w:rPr>
        <w:t xml:space="preserve">
      ограничения конвертируемости валюты; </w:t>
      </w:r>
    </w:p>
    <w:bookmarkEnd w:id="1129"/>
    <w:bookmarkStart w:name="z924" w:id="1130"/>
    <w:p>
      <w:pPr>
        <w:spacing w:after="0"/>
        <w:ind w:left="0"/>
        <w:jc w:val="both"/>
      </w:pPr>
      <w:r>
        <w:rPr>
          <w:rFonts w:ascii="Times New Roman"/>
          <w:b w:val="false"/>
          <w:i w:val="false"/>
          <w:color w:val="000000"/>
          <w:sz w:val="28"/>
        </w:rPr>
        <w:t>
      серьезные операционные или расчетные сбои, влияющие на одну или несколько основных платежных или расчетных систем;</w:t>
      </w:r>
    </w:p>
    <w:bookmarkEnd w:id="1130"/>
    <w:bookmarkStart w:name="z925" w:id="1131"/>
    <w:p>
      <w:pPr>
        <w:spacing w:after="0"/>
        <w:ind w:left="0"/>
        <w:jc w:val="both"/>
      </w:pPr>
      <w:r>
        <w:rPr>
          <w:rFonts w:ascii="Times New Roman"/>
          <w:b w:val="false"/>
          <w:i w:val="false"/>
          <w:color w:val="000000"/>
          <w:sz w:val="28"/>
        </w:rPr>
        <w:t>
      банк учитывает взаимосвязь между сокращением ликвидности на рынке и ограничениями фондирования;</w:t>
      </w:r>
    </w:p>
    <w:bookmarkEnd w:id="1131"/>
    <w:bookmarkStart w:name="z926" w:id="1132"/>
    <w:p>
      <w:pPr>
        <w:spacing w:after="0"/>
        <w:ind w:left="0"/>
        <w:jc w:val="both"/>
      </w:pPr>
      <w:r>
        <w:rPr>
          <w:rFonts w:ascii="Times New Roman"/>
          <w:b w:val="false"/>
          <w:i w:val="false"/>
          <w:color w:val="000000"/>
          <w:sz w:val="28"/>
        </w:rPr>
        <w:t>
      при стресс-тестировании банк рассматривает взаимосвязь различных видов рисков;</w:t>
      </w:r>
    </w:p>
    <w:bookmarkEnd w:id="1132"/>
    <w:bookmarkStart w:name="z927" w:id="1133"/>
    <w:p>
      <w:pPr>
        <w:spacing w:after="0"/>
        <w:ind w:left="0"/>
        <w:jc w:val="both"/>
      </w:pPr>
      <w:r>
        <w:rPr>
          <w:rFonts w:ascii="Times New Roman"/>
          <w:b w:val="false"/>
          <w:i w:val="false"/>
          <w:color w:val="000000"/>
          <w:sz w:val="28"/>
        </w:rPr>
        <w:t>
      банк учитывает потребности в ликвидности во многих валютах и нескольких основных платежных и расчетных системах;</w:t>
      </w:r>
    </w:p>
    <w:bookmarkEnd w:id="1133"/>
    <w:bookmarkStart w:name="z928" w:id="1134"/>
    <w:p>
      <w:pPr>
        <w:spacing w:after="0"/>
        <w:ind w:left="0"/>
        <w:jc w:val="both"/>
      </w:pPr>
      <w:r>
        <w:rPr>
          <w:rFonts w:ascii="Times New Roman"/>
          <w:b w:val="false"/>
          <w:i w:val="false"/>
          <w:color w:val="000000"/>
          <w:sz w:val="28"/>
        </w:rPr>
        <w:t>
      банк придерживается консервативного подхода при определении допущений стресс-тестирования. Основываясь на типе и степени тяжести сценария, банк учитывает уместность ряда допущений по отношению к его деятельности, которые включают, но, не ограничиваясь, следующее:</w:t>
      </w:r>
    </w:p>
    <w:bookmarkEnd w:id="1134"/>
    <w:bookmarkStart w:name="z929" w:id="1135"/>
    <w:p>
      <w:pPr>
        <w:spacing w:after="0"/>
        <w:ind w:left="0"/>
        <w:jc w:val="both"/>
      </w:pPr>
      <w:r>
        <w:rPr>
          <w:rFonts w:ascii="Times New Roman"/>
          <w:b w:val="false"/>
          <w:i w:val="false"/>
          <w:color w:val="000000"/>
          <w:sz w:val="28"/>
        </w:rPr>
        <w:t>
      сужение ликвидности в масштабах всего рынка;</w:t>
      </w:r>
    </w:p>
    <w:bookmarkEnd w:id="1135"/>
    <w:bookmarkStart w:name="z930" w:id="1136"/>
    <w:p>
      <w:pPr>
        <w:spacing w:after="0"/>
        <w:ind w:left="0"/>
        <w:jc w:val="both"/>
      </w:pPr>
      <w:r>
        <w:rPr>
          <w:rFonts w:ascii="Times New Roman"/>
          <w:b w:val="false"/>
          <w:i w:val="false"/>
          <w:color w:val="000000"/>
          <w:sz w:val="28"/>
        </w:rPr>
        <w:t>
      отток розничного и корпоративного фондирования;</w:t>
      </w:r>
    </w:p>
    <w:bookmarkEnd w:id="1136"/>
    <w:bookmarkStart w:name="z931" w:id="1137"/>
    <w:p>
      <w:pPr>
        <w:spacing w:after="0"/>
        <w:ind w:left="0"/>
        <w:jc w:val="both"/>
      </w:pPr>
      <w:r>
        <w:rPr>
          <w:rFonts w:ascii="Times New Roman"/>
          <w:b w:val="false"/>
          <w:i w:val="false"/>
          <w:color w:val="000000"/>
          <w:sz w:val="28"/>
        </w:rPr>
        <w:t>
      отсутствие доступа к новым обеспеченным и необеспеченным источникам фондирования;</w:t>
      </w:r>
    </w:p>
    <w:bookmarkEnd w:id="1137"/>
    <w:bookmarkStart w:name="z932" w:id="1138"/>
    <w:p>
      <w:pPr>
        <w:spacing w:after="0"/>
        <w:ind w:left="0"/>
        <w:jc w:val="both"/>
      </w:pPr>
      <w:r>
        <w:rPr>
          <w:rFonts w:ascii="Times New Roman"/>
          <w:b w:val="false"/>
          <w:i w:val="false"/>
          <w:color w:val="000000"/>
          <w:sz w:val="28"/>
        </w:rPr>
        <w:t>
      возникновение потребности в существенных дисконтах для продажи активов и (или) осуществления репо;</w:t>
      </w:r>
    </w:p>
    <w:bookmarkEnd w:id="1138"/>
    <w:bookmarkStart w:name="z933" w:id="1139"/>
    <w:p>
      <w:pPr>
        <w:spacing w:after="0"/>
        <w:ind w:left="0"/>
        <w:jc w:val="both"/>
      </w:pPr>
      <w:r>
        <w:rPr>
          <w:rFonts w:ascii="Times New Roman"/>
          <w:b w:val="false"/>
          <w:i w:val="false"/>
          <w:color w:val="000000"/>
          <w:sz w:val="28"/>
        </w:rPr>
        <w:t>
      дефолт контрагентов, в том числе на межбанковском рынке;</w:t>
      </w:r>
    </w:p>
    <w:bookmarkEnd w:id="1139"/>
    <w:bookmarkStart w:name="z934" w:id="1140"/>
    <w:p>
      <w:pPr>
        <w:spacing w:after="0"/>
        <w:ind w:left="0"/>
        <w:jc w:val="both"/>
      </w:pPr>
      <w:r>
        <w:rPr>
          <w:rFonts w:ascii="Times New Roman"/>
          <w:b w:val="false"/>
          <w:i w:val="false"/>
          <w:color w:val="000000"/>
          <w:sz w:val="28"/>
        </w:rPr>
        <w:t>
      вероятность установления дополнительной маржи и залога;</w:t>
      </w:r>
    </w:p>
    <w:bookmarkEnd w:id="1140"/>
    <w:bookmarkStart w:name="z935" w:id="1141"/>
    <w:p>
      <w:pPr>
        <w:spacing w:after="0"/>
        <w:ind w:left="0"/>
        <w:jc w:val="both"/>
      </w:pPr>
      <w:r>
        <w:rPr>
          <w:rFonts w:ascii="Times New Roman"/>
          <w:b w:val="false"/>
          <w:i w:val="false"/>
          <w:color w:val="000000"/>
          <w:sz w:val="28"/>
        </w:rPr>
        <w:t>
      вероятность изменения сроков финансирования;</w:t>
      </w:r>
    </w:p>
    <w:bookmarkEnd w:id="1141"/>
    <w:bookmarkStart w:name="z936" w:id="1142"/>
    <w:p>
      <w:pPr>
        <w:spacing w:after="0"/>
        <w:ind w:left="0"/>
        <w:jc w:val="both"/>
      </w:pPr>
      <w:r>
        <w:rPr>
          <w:rFonts w:ascii="Times New Roman"/>
          <w:b w:val="false"/>
          <w:i w:val="false"/>
          <w:color w:val="000000"/>
          <w:sz w:val="28"/>
        </w:rPr>
        <w:t>
      ликвидность, направленная на исполнение условных обязательств по внебалансовым инструментам и операциям, включая кредитные линии;</w:t>
      </w:r>
    </w:p>
    <w:bookmarkEnd w:id="1142"/>
    <w:bookmarkStart w:name="z937" w:id="1143"/>
    <w:p>
      <w:pPr>
        <w:spacing w:after="0"/>
        <w:ind w:left="0"/>
        <w:jc w:val="both"/>
      </w:pPr>
      <w:r>
        <w:rPr>
          <w:rFonts w:ascii="Times New Roman"/>
          <w:b w:val="false"/>
          <w:i w:val="false"/>
          <w:color w:val="000000"/>
          <w:sz w:val="28"/>
        </w:rPr>
        <w:t>
      планируемое изменение в объеме активов;</w:t>
      </w:r>
    </w:p>
    <w:bookmarkEnd w:id="1143"/>
    <w:bookmarkStart w:name="z938" w:id="1144"/>
    <w:p>
      <w:pPr>
        <w:spacing w:after="0"/>
        <w:ind w:left="0"/>
        <w:jc w:val="both"/>
      </w:pPr>
      <w:r>
        <w:rPr>
          <w:rFonts w:ascii="Times New Roman"/>
          <w:b w:val="false"/>
          <w:i w:val="false"/>
          <w:color w:val="000000"/>
          <w:sz w:val="28"/>
        </w:rPr>
        <w:t>
      невозобновляемость межбанковских вкладов;</w:t>
      </w:r>
    </w:p>
    <w:bookmarkEnd w:id="1144"/>
    <w:bookmarkStart w:name="z939" w:id="1145"/>
    <w:p>
      <w:pPr>
        <w:spacing w:after="0"/>
        <w:ind w:left="0"/>
        <w:jc w:val="both"/>
      </w:pPr>
      <w:r>
        <w:rPr>
          <w:rFonts w:ascii="Times New Roman"/>
          <w:b w:val="false"/>
          <w:i w:val="false"/>
          <w:color w:val="000000"/>
          <w:sz w:val="28"/>
        </w:rPr>
        <w:t>
      отсутствие возможности использования кредитных линий, предоставленных банку;</w:t>
      </w:r>
    </w:p>
    <w:bookmarkEnd w:id="1145"/>
    <w:bookmarkStart w:name="z940" w:id="1146"/>
    <w:p>
      <w:pPr>
        <w:spacing w:after="0"/>
        <w:ind w:left="0"/>
        <w:jc w:val="both"/>
      </w:pPr>
      <w:r>
        <w:rPr>
          <w:rFonts w:ascii="Times New Roman"/>
          <w:b w:val="false"/>
          <w:i w:val="false"/>
          <w:color w:val="000000"/>
          <w:sz w:val="28"/>
        </w:rPr>
        <w:t>
      влияние триггеров существенного снижения кредитного рейтинга;</w:t>
      </w:r>
    </w:p>
    <w:bookmarkEnd w:id="1146"/>
    <w:bookmarkStart w:name="z941" w:id="1147"/>
    <w:p>
      <w:pPr>
        <w:spacing w:after="0"/>
        <w:ind w:left="0"/>
        <w:jc w:val="both"/>
      </w:pPr>
      <w:r>
        <w:rPr>
          <w:rFonts w:ascii="Times New Roman"/>
          <w:b w:val="false"/>
          <w:i w:val="false"/>
          <w:color w:val="000000"/>
          <w:sz w:val="28"/>
        </w:rPr>
        <w:t>
      конвертация средств клиентов банка;</w:t>
      </w:r>
    </w:p>
    <w:bookmarkEnd w:id="1147"/>
    <w:bookmarkStart w:name="z942" w:id="1148"/>
    <w:p>
      <w:pPr>
        <w:spacing w:after="0"/>
        <w:ind w:left="0"/>
        <w:jc w:val="both"/>
      </w:pPr>
      <w:r>
        <w:rPr>
          <w:rFonts w:ascii="Times New Roman"/>
          <w:b w:val="false"/>
          <w:i w:val="false"/>
          <w:color w:val="000000"/>
          <w:sz w:val="28"/>
        </w:rPr>
        <w:t>
      снижение способности реализовывать ликвидные активы с учетом правовых, нормативных, операционных и временных ограничений;</w:t>
      </w:r>
    </w:p>
    <w:bookmarkEnd w:id="1148"/>
    <w:bookmarkStart w:name="z943" w:id="1149"/>
    <w:p>
      <w:pPr>
        <w:spacing w:after="0"/>
        <w:ind w:left="0"/>
        <w:jc w:val="both"/>
      </w:pPr>
      <w:r>
        <w:rPr>
          <w:rFonts w:ascii="Times New Roman"/>
          <w:b w:val="false"/>
          <w:i w:val="false"/>
          <w:color w:val="000000"/>
          <w:sz w:val="28"/>
        </w:rPr>
        <w:t>
      ограниченный доступ к средствам уполномоченного органа, компаний квазигосударственного сектора;</w:t>
      </w:r>
    </w:p>
    <w:bookmarkEnd w:id="1149"/>
    <w:bookmarkStart w:name="z944" w:id="1150"/>
    <w:p>
      <w:pPr>
        <w:spacing w:after="0"/>
        <w:ind w:left="0"/>
        <w:jc w:val="both"/>
      </w:pPr>
      <w:r>
        <w:rPr>
          <w:rFonts w:ascii="Times New Roman"/>
          <w:b w:val="false"/>
          <w:i w:val="false"/>
          <w:color w:val="000000"/>
          <w:sz w:val="28"/>
        </w:rPr>
        <w:t>
      ограниченная операционная способность банка реализовать активы;</w:t>
      </w:r>
    </w:p>
    <w:bookmarkEnd w:id="1150"/>
    <w:bookmarkStart w:name="z945" w:id="1151"/>
    <w:p>
      <w:pPr>
        <w:spacing w:after="0"/>
        <w:ind w:left="0"/>
        <w:jc w:val="both"/>
      </w:pPr>
      <w:r>
        <w:rPr>
          <w:rFonts w:ascii="Times New Roman"/>
          <w:b w:val="false"/>
          <w:i w:val="false"/>
          <w:color w:val="000000"/>
          <w:sz w:val="28"/>
        </w:rPr>
        <w:t>
      существенное снижение кредитного рейтинга банка;</w:t>
      </w:r>
    </w:p>
    <w:bookmarkEnd w:id="1151"/>
    <w:bookmarkStart w:name="z946" w:id="1152"/>
    <w:p>
      <w:pPr>
        <w:spacing w:after="0"/>
        <w:ind w:left="0"/>
        <w:jc w:val="both"/>
      </w:pPr>
      <w:r>
        <w:rPr>
          <w:rFonts w:ascii="Times New Roman"/>
          <w:b w:val="false"/>
          <w:i w:val="false"/>
          <w:color w:val="000000"/>
          <w:sz w:val="28"/>
        </w:rPr>
        <w:t>
      появление негативной информации о банке, влияющей на уровень доверия к банку.</w:t>
      </w:r>
    </w:p>
    <w:bookmarkEnd w:id="1152"/>
    <w:bookmarkStart w:name="z947" w:id="1153"/>
    <w:p>
      <w:pPr>
        <w:spacing w:after="0"/>
        <w:ind w:left="0"/>
        <w:jc w:val="both"/>
      </w:pPr>
      <w:r>
        <w:rPr>
          <w:rFonts w:ascii="Times New Roman"/>
          <w:b w:val="false"/>
          <w:i w:val="false"/>
          <w:color w:val="000000"/>
          <w:sz w:val="28"/>
        </w:rPr>
        <w:t>
      Стресс-сценарии анализируются банком на регулярной основе в целях подтверждения их актуальности. В анализах учитываются изменения в рыночных условиях, изменения характера, объема активов или сложности бизнес-модели и деятельности банка, фактический опыт в ситуациях стресса.</w:t>
      </w:r>
    </w:p>
    <w:bookmarkEnd w:id="1153"/>
    <w:bookmarkStart w:name="z948" w:id="1154"/>
    <w:p>
      <w:pPr>
        <w:spacing w:after="0"/>
        <w:ind w:left="0"/>
        <w:jc w:val="both"/>
      </w:pPr>
      <w:r>
        <w:rPr>
          <w:rFonts w:ascii="Times New Roman"/>
          <w:b w:val="false"/>
          <w:i w:val="false"/>
          <w:color w:val="000000"/>
          <w:sz w:val="28"/>
        </w:rPr>
        <w:t xml:space="preserve">
      Совет директоров банка утверждает сценарии стресс-тестирования и принятые допущения, а также результаты стресс-тестирования. Обоснованность выбора сценариев и соответствующих предположений банка документируется и рассматривается вместе с результатами стресс-теста. </w:t>
      </w:r>
    </w:p>
    <w:bookmarkEnd w:id="1154"/>
    <w:bookmarkStart w:name="z949" w:id="1155"/>
    <w:p>
      <w:pPr>
        <w:spacing w:after="0"/>
        <w:ind w:left="0"/>
        <w:jc w:val="both"/>
      </w:pPr>
      <w:r>
        <w:rPr>
          <w:rFonts w:ascii="Times New Roman"/>
          <w:b w:val="false"/>
          <w:i w:val="false"/>
          <w:color w:val="000000"/>
          <w:sz w:val="28"/>
        </w:rPr>
        <w:t>
      Результаты стресс-теста и прогнозируемые риски, а также последующие действия по минимизации негативного влияния сообщаются и обсуждаются с советом директоров банка и подразделениями, участвующими в процессе управления риском ликвидности. Совет директоров банка интегрирует результаты процесса стресс-тестирования в процесс стратегического и бюджетного планирования банка. Результаты стресс-тестирования используются при установлении внутренних лимитов.</w:t>
      </w:r>
    </w:p>
    <w:bookmarkEnd w:id="1155"/>
    <w:bookmarkStart w:name="z950" w:id="1156"/>
    <w:p>
      <w:pPr>
        <w:spacing w:after="0"/>
        <w:ind w:left="0"/>
        <w:jc w:val="both"/>
      </w:pPr>
      <w:r>
        <w:rPr>
          <w:rFonts w:ascii="Times New Roman"/>
          <w:b w:val="false"/>
          <w:i w:val="false"/>
          <w:color w:val="000000"/>
          <w:sz w:val="28"/>
        </w:rPr>
        <w:t>
      Совет директоров банка включает результаты стресс-тестирования в оценку и планирование плана финансирования, в том числе в целях корректирования недостатков в плане.</w:t>
      </w:r>
    </w:p>
    <w:bookmarkEnd w:id="1156"/>
    <w:bookmarkStart w:name="z951" w:id="1157"/>
    <w:p>
      <w:pPr>
        <w:spacing w:after="0"/>
        <w:ind w:left="0"/>
        <w:jc w:val="both"/>
      </w:pPr>
      <w:r>
        <w:rPr>
          <w:rFonts w:ascii="Times New Roman"/>
          <w:b w:val="false"/>
          <w:i w:val="false"/>
          <w:color w:val="000000"/>
          <w:sz w:val="28"/>
        </w:rPr>
        <w:t>
      61. Банк ежегодно проводит самооценку ВПОДЛ на выявление слабых сторон процесса в части следующего:</w:t>
      </w:r>
    </w:p>
    <w:bookmarkEnd w:id="1157"/>
    <w:bookmarkStart w:name="z952" w:id="1158"/>
    <w:p>
      <w:pPr>
        <w:spacing w:after="0"/>
        <w:ind w:left="0"/>
        <w:jc w:val="both"/>
      </w:pPr>
      <w:r>
        <w:rPr>
          <w:rFonts w:ascii="Times New Roman"/>
          <w:b w:val="false"/>
          <w:i w:val="false"/>
          <w:color w:val="000000"/>
          <w:sz w:val="28"/>
        </w:rPr>
        <w:t>
      1) политики управления ликвидностью;</w:t>
      </w:r>
    </w:p>
    <w:bookmarkEnd w:id="1158"/>
    <w:bookmarkStart w:name="z953" w:id="1159"/>
    <w:p>
      <w:pPr>
        <w:spacing w:after="0"/>
        <w:ind w:left="0"/>
        <w:jc w:val="both"/>
      </w:pPr>
      <w:r>
        <w:rPr>
          <w:rFonts w:ascii="Times New Roman"/>
          <w:b w:val="false"/>
          <w:i w:val="false"/>
          <w:color w:val="000000"/>
          <w:sz w:val="28"/>
        </w:rPr>
        <w:t>
      2) организации процесса;</w:t>
      </w:r>
    </w:p>
    <w:bookmarkEnd w:id="1159"/>
    <w:bookmarkStart w:name="z954" w:id="1160"/>
    <w:p>
      <w:pPr>
        <w:spacing w:after="0"/>
        <w:ind w:left="0"/>
        <w:jc w:val="both"/>
      </w:pPr>
      <w:r>
        <w:rPr>
          <w:rFonts w:ascii="Times New Roman"/>
          <w:b w:val="false"/>
          <w:i w:val="false"/>
          <w:color w:val="000000"/>
          <w:sz w:val="28"/>
        </w:rPr>
        <w:t>
      3) процедур, систем и контролирующих действий;</w:t>
      </w:r>
    </w:p>
    <w:bookmarkEnd w:id="1160"/>
    <w:bookmarkStart w:name="z955" w:id="1161"/>
    <w:p>
      <w:pPr>
        <w:spacing w:after="0"/>
        <w:ind w:left="0"/>
        <w:jc w:val="both"/>
      </w:pPr>
      <w:r>
        <w:rPr>
          <w:rFonts w:ascii="Times New Roman"/>
          <w:b w:val="false"/>
          <w:i w:val="false"/>
          <w:color w:val="000000"/>
          <w:sz w:val="28"/>
        </w:rPr>
        <w:t>
      4) уровня ликвидности и доступности фондирования.</w:t>
      </w:r>
    </w:p>
    <w:bookmarkEnd w:id="1161"/>
    <w:bookmarkStart w:name="z956" w:id="1162"/>
    <w:p>
      <w:pPr>
        <w:spacing w:after="0"/>
        <w:ind w:left="0"/>
        <w:jc w:val="both"/>
      </w:pPr>
      <w:r>
        <w:rPr>
          <w:rFonts w:ascii="Times New Roman"/>
          <w:b w:val="false"/>
          <w:i w:val="false"/>
          <w:color w:val="000000"/>
          <w:sz w:val="28"/>
        </w:rPr>
        <w:t>
      По результатам самооценки и при выявлении несоответствий и (или) слабых сторон процесса банк составляет план мероприятий, содержащий информацию о корректирующих действиях, подлежащих реализации, в том числе информацию об ответственных сторонах, ожидаемых сроках выполнения, о необходимых ресурсах.</w:t>
      </w:r>
    </w:p>
    <w:bookmarkEnd w:id="1162"/>
    <w:bookmarkStart w:name="z957" w:id="1163"/>
    <w:p>
      <w:pPr>
        <w:spacing w:after="0"/>
        <w:ind w:left="0"/>
        <w:jc w:val="left"/>
      </w:pPr>
      <w:r>
        <w:rPr>
          <w:rFonts w:ascii="Times New Roman"/>
          <w:b/>
          <w:i w:val="false"/>
          <w:color w:val="000000"/>
        </w:rPr>
        <w:t xml:space="preserve"> Глава 7. Управление непрерывностью деятельности</w:t>
      </w:r>
    </w:p>
    <w:bookmarkEnd w:id="1163"/>
    <w:bookmarkStart w:name="z958" w:id="1164"/>
    <w:p>
      <w:pPr>
        <w:spacing w:after="0"/>
        <w:ind w:left="0"/>
        <w:jc w:val="both"/>
      </w:pPr>
      <w:r>
        <w:rPr>
          <w:rFonts w:ascii="Times New Roman"/>
          <w:b w:val="false"/>
          <w:i w:val="false"/>
          <w:color w:val="000000"/>
          <w:sz w:val="28"/>
        </w:rPr>
        <w:t>
      62. Совет директоров банка обеспечивает наличие системы управления непрерывностью деятельности банка, которая соответствует текущей рыночной ситуации, стратегии, объему активов, уровню сложности операций банка.</w:t>
      </w:r>
    </w:p>
    <w:bookmarkEnd w:id="1164"/>
    <w:bookmarkStart w:name="z959" w:id="1165"/>
    <w:p>
      <w:pPr>
        <w:spacing w:after="0"/>
        <w:ind w:left="0"/>
        <w:jc w:val="both"/>
      </w:pPr>
      <w:r>
        <w:rPr>
          <w:rFonts w:ascii="Times New Roman"/>
          <w:b w:val="false"/>
          <w:i w:val="false"/>
          <w:color w:val="000000"/>
          <w:sz w:val="28"/>
        </w:rPr>
        <w:t>
      Банк управляет непрерывностью деятельности посредством процедур, но, не ограничиваясь ими, перечисленных в пунктах 63-71 Правил.</w:t>
      </w:r>
    </w:p>
    <w:bookmarkEnd w:id="1165"/>
    <w:bookmarkStart w:name="z960" w:id="1166"/>
    <w:p>
      <w:pPr>
        <w:spacing w:after="0"/>
        <w:ind w:left="0"/>
        <w:jc w:val="both"/>
      </w:pPr>
      <w:r>
        <w:rPr>
          <w:rFonts w:ascii="Times New Roman"/>
          <w:b w:val="false"/>
          <w:i w:val="false"/>
          <w:color w:val="000000"/>
          <w:sz w:val="28"/>
        </w:rPr>
        <w:t>
      63. Банк осуществляет по методу, определенному во внутреннем документе банка, анализ влияния на деятельность, посредством которого осуществляется оценка:</w:t>
      </w:r>
    </w:p>
    <w:bookmarkEnd w:id="1166"/>
    <w:bookmarkStart w:name="z961" w:id="1167"/>
    <w:p>
      <w:pPr>
        <w:spacing w:after="0"/>
        <w:ind w:left="0"/>
        <w:jc w:val="both"/>
      </w:pPr>
      <w:r>
        <w:rPr>
          <w:rFonts w:ascii="Times New Roman"/>
          <w:b w:val="false"/>
          <w:i w:val="false"/>
          <w:color w:val="000000"/>
          <w:sz w:val="28"/>
        </w:rPr>
        <w:t>
      1) воздействий, повреждений или потерь на персонал, помещения, технологии или информацию банка;</w:t>
      </w:r>
    </w:p>
    <w:bookmarkEnd w:id="1167"/>
    <w:bookmarkStart w:name="z962" w:id="1168"/>
    <w:p>
      <w:pPr>
        <w:spacing w:after="0"/>
        <w:ind w:left="0"/>
        <w:jc w:val="both"/>
      </w:pPr>
      <w:r>
        <w:rPr>
          <w:rFonts w:ascii="Times New Roman"/>
          <w:b w:val="false"/>
          <w:i w:val="false"/>
          <w:color w:val="000000"/>
          <w:sz w:val="28"/>
        </w:rPr>
        <w:t>
      2) нарушений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1168"/>
    <w:bookmarkStart w:name="z963" w:id="1169"/>
    <w:p>
      <w:pPr>
        <w:spacing w:after="0"/>
        <w:ind w:left="0"/>
        <w:jc w:val="both"/>
      </w:pPr>
      <w:r>
        <w:rPr>
          <w:rFonts w:ascii="Times New Roman"/>
          <w:b w:val="false"/>
          <w:i w:val="false"/>
          <w:color w:val="000000"/>
          <w:sz w:val="28"/>
        </w:rPr>
        <w:t>
      3) потери репутации.</w:t>
      </w:r>
    </w:p>
    <w:bookmarkEnd w:id="1169"/>
    <w:bookmarkStart w:name="z964" w:id="1170"/>
    <w:p>
      <w:pPr>
        <w:spacing w:after="0"/>
        <w:ind w:left="0"/>
        <w:jc w:val="both"/>
      </w:pPr>
      <w:r>
        <w:rPr>
          <w:rFonts w:ascii="Times New Roman"/>
          <w:b w:val="false"/>
          <w:i w:val="false"/>
          <w:color w:val="000000"/>
          <w:sz w:val="28"/>
        </w:rPr>
        <w:t>
      Анализ влияния на деятельность банка проводится для определения временных рамок восстановления критичных видов деятельности, а также выявления ресурсов, необходимых для возобновления и продолжения ключевой деятельности в случае непредвиденных обстоятельств (критичных ресурсов).</w:t>
      </w:r>
    </w:p>
    <w:bookmarkEnd w:id="1170"/>
    <w:bookmarkStart w:name="z965" w:id="1171"/>
    <w:p>
      <w:pPr>
        <w:spacing w:after="0"/>
        <w:ind w:left="0"/>
        <w:jc w:val="both"/>
      </w:pPr>
      <w:r>
        <w:rPr>
          <w:rFonts w:ascii="Times New Roman"/>
          <w:b w:val="false"/>
          <w:i w:val="false"/>
          <w:color w:val="000000"/>
          <w:sz w:val="28"/>
        </w:rPr>
        <w:t>
      Для проведения анализа влияния на деятельность банка:</w:t>
      </w:r>
    </w:p>
    <w:bookmarkEnd w:id="1171"/>
    <w:bookmarkStart w:name="z966" w:id="1172"/>
    <w:p>
      <w:pPr>
        <w:spacing w:after="0"/>
        <w:ind w:left="0"/>
        <w:jc w:val="both"/>
      </w:pPr>
      <w:r>
        <w:rPr>
          <w:rFonts w:ascii="Times New Roman"/>
          <w:b w:val="false"/>
          <w:i w:val="false"/>
          <w:color w:val="000000"/>
          <w:sz w:val="28"/>
        </w:rPr>
        <w:t>
      оценивает объем возможных потерь в связи с простоем предоставления критичных продуктов и услуг во времени;</w:t>
      </w:r>
    </w:p>
    <w:bookmarkEnd w:id="1172"/>
    <w:bookmarkStart w:name="z967" w:id="1173"/>
    <w:p>
      <w:pPr>
        <w:spacing w:after="0"/>
        <w:ind w:left="0"/>
        <w:jc w:val="both"/>
      </w:pPr>
      <w:r>
        <w:rPr>
          <w:rFonts w:ascii="Times New Roman"/>
          <w:b w:val="false"/>
          <w:i w:val="false"/>
          <w:color w:val="000000"/>
          <w:sz w:val="28"/>
        </w:rPr>
        <w:t>
      устанавливает максимально приемлемый период простоя каждого вида деятельности путем идентификации:</w:t>
      </w:r>
    </w:p>
    <w:bookmarkEnd w:id="1173"/>
    <w:bookmarkStart w:name="z968" w:id="1174"/>
    <w:p>
      <w:pPr>
        <w:spacing w:after="0"/>
        <w:ind w:left="0"/>
        <w:jc w:val="both"/>
      </w:pPr>
      <w:r>
        <w:rPr>
          <w:rFonts w:ascii="Times New Roman"/>
          <w:b w:val="false"/>
          <w:i w:val="false"/>
          <w:color w:val="000000"/>
          <w:sz w:val="28"/>
        </w:rPr>
        <w:t>
      максимального периода времени, в пределах которого деятельность возобновляется;</w:t>
      </w:r>
    </w:p>
    <w:bookmarkEnd w:id="1174"/>
    <w:bookmarkStart w:name="z969" w:id="1175"/>
    <w:p>
      <w:pPr>
        <w:spacing w:after="0"/>
        <w:ind w:left="0"/>
        <w:jc w:val="both"/>
      </w:pPr>
      <w:r>
        <w:rPr>
          <w:rFonts w:ascii="Times New Roman"/>
          <w:b w:val="false"/>
          <w:i w:val="false"/>
          <w:color w:val="000000"/>
          <w:sz w:val="28"/>
        </w:rPr>
        <w:t>
      периода времени, в пределах которого возобновляется нормальный уровень осуществления деятельности;</w:t>
      </w:r>
    </w:p>
    <w:bookmarkEnd w:id="1175"/>
    <w:bookmarkStart w:name="z970" w:id="1176"/>
    <w:p>
      <w:pPr>
        <w:spacing w:after="0"/>
        <w:ind w:left="0"/>
        <w:jc w:val="both"/>
      </w:pPr>
      <w:r>
        <w:rPr>
          <w:rFonts w:ascii="Times New Roman"/>
          <w:b w:val="false"/>
          <w:i w:val="false"/>
          <w:color w:val="000000"/>
          <w:sz w:val="28"/>
        </w:rPr>
        <w:t>
      выявляет виды и уровни выполнения деятельности, активы или иные ресурсы, которые необходимо непрерывно поддерживать в минимальном работоспособном состоянии и (или) восстанавливать в установленные сроки для предоставления критичных продуктов и услуг;</w:t>
      </w:r>
    </w:p>
    <w:bookmarkEnd w:id="1176"/>
    <w:bookmarkStart w:name="z971" w:id="1177"/>
    <w:p>
      <w:pPr>
        <w:spacing w:after="0"/>
        <w:ind w:left="0"/>
        <w:jc w:val="both"/>
      </w:pPr>
      <w:r>
        <w:rPr>
          <w:rFonts w:ascii="Times New Roman"/>
          <w:b w:val="false"/>
          <w:i w:val="false"/>
          <w:color w:val="000000"/>
          <w:sz w:val="28"/>
        </w:rPr>
        <w:t>
      определяет объем ресурсов, минимально необходимых для восстановления и дальнейшего осуществления критичных видов деятельности в аварийном режиме;</w:t>
      </w:r>
    </w:p>
    <w:bookmarkEnd w:id="1177"/>
    <w:bookmarkStart w:name="z972" w:id="1178"/>
    <w:p>
      <w:pPr>
        <w:spacing w:after="0"/>
        <w:ind w:left="0"/>
        <w:jc w:val="both"/>
      </w:pPr>
      <w:r>
        <w:rPr>
          <w:rFonts w:ascii="Times New Roman"/>
          <w:b w:val="false"/>
          <w:i w:val="false"/>
          <w:color w:val="000000"/>
          <w:sz w:val="28"/>
        </w:rPr>
        <w:t>
      устанавливает целевое время восстановления каждого из критичных видов деятельности. Целевое время восстановления меньше максимально допустимого времени простоя соответствующего продукта или услуги;</w:t>
      </w:r>
    </w:p>
    <w:bookmarkEnd w:id="1178"/>
    <w:bookmarkStart w:name="z973" w:id="1179"/>
    <w:p>
      <w:pPr>
        <w:spacing w:after="0"/>
        <w:ind w:left="0"/>
        <w:jc w:val="both"/>
      </w:pPr>
      <w:r>
        <w:rPr>
          <w:rFonts w:ascii="Times New Roman"/>
          <w:b w:val="false"/>
          <w:i w:val="false"/>
          <w:color w:val="000000"/>
          <w:sz w:val="28"/>
        </w:rPr>
        <w:t>
      устанавливает целевую точку восстановления между последним резервированием данных и началом простоя критичного вида деятельности;</w:t>
      </w:r>
    </w:p>
    <w:bookmarkEnd w:id="1179"/>
    <w:bookmarkStart w:name="z974" w:id="1180"/>
    <w:p>
      <w:pPr>
        <w:spacing w:after="0"/>
        <w:ind w:left="0"/>
        <w:jc w:val="both"/>
      </w:pPr>
      <w:r>
        <w:rPr>
          <w:rFonts w:ascii="Times New Roman"/>
          <w:b w:val="false"/>
          <w:i w:val="false"/>
          <w:color w:val="000000"/>
          <w:sz w:val="28"/>
        </w:rPr>
        <w:t>
      ранжирует критичные виды деятельности по целевому времени восстановления, выделяя приоритетные;</w:t>
      </w:r>
    </w:p>
    <w:bookmarkEnd w:id="1180"/>
    <w:bookmarkStart w:name="z975" w:id="1181"/>
    <w:p>
      <w:pPr>
        <w:spacing w:after="0"/>
        <w:ind w:left="0"/>
        <w:jc w:val="both"/>
      </w:pPr>
      <w:r>
        <w:rPr>
          <w:rFonts w:ascii="Times New Roman"/>
          <w:b w:val="false"/>
          <w:i w:val="false"/>
          <w:color w:val="000000"/>
          <w:sz w:val="28"/>
        </w:rPr>
        <w:t>
      выявляет поставщиков, контрагентов, прочих заинтересованных сторон, от которых зависят критичные виды деятельности банка и как указанные лица оказывают помощь банку при наступлении непредвиденных обстоятельств.</w:t>
      </w:r>
    </w:p>
    <w:bookmarkEnd w:id="1181"/>
    <w:bookmarkStart w:name="z976" w:id="1182"/>
    <w:p>
      <w:pPr>
        <w:spacing w:after="0"/>
        <w:ind w:left="0"/>
        <w:jc w:val="both"/>
      </w:pPr>
      <w:r>
        <w:rPr>
          <w:rFonts w:ascii="Times New Roman"/>
          <w:b w:val="false"/>
          <w:i w:val="false"/>
          <w:color w:val="000000"/>
          <w:sz w:val="28"/>
        </w:rPr>
        <w:t>
      64. Банк идентифицирует критичные виды деятельности. Идентифицированная в процессе анализа влияния на деятельность банка, потеря которой оказывает в краткосрочный период времени максимальное негативное воздействие на банк и подлежит восстановлению в кратчайшие сроки, является критичным видом деятельности.</w:t>
      </w:r>
    </w:p>
    <w:bookmarkEnd w:id="1182"/>
    <w:bookmarkStart w:name="z977" w:id="1183"/>
    <w:p>
      <w:pPr>
        <w:spacing w:after="0"/>
        <w:ind w:left="0"/>
        <w:jc w:val="both"/>
      </w:pPr>
      <w:r>
        <w:rPr>
          <w:rFonts w:ascii="Times New Roman"/>
          <w:b w:val="false"/>
          <w:i w:val="false"/>
          <w:color w:val="000000"/>
          <w:sz w:val="28"/>
        </w:rPr>
        <w:t>
      65. Банк определяет ресурсы, необходимые для поддержания критичных видов деятельности, которые включают, но не ограничиваются следующим:</w:t>
      </w:r>
    </w:p>
    <w:bookmarkEnd w:id="1183"/>
    <w:bookmarkStart w:name="z978" w:id="1184"/>
    <w:p>
      <w:pPr>
        <w:spacing w:after="0"/>
        <w:ind w:left="0"/>
        <w:jc w:val="both"/>
      </w:pPr>
      <w:r>
        <w:rPr>
          <w:rFonts w:ascii="Times New Roman"/>
          <w:b w:val="false"/>
          <w:i w:val="false"/>
          <w:color w:val="000000"/>
          <w:sz w:val="28"/>
        </w:rPr>
        <w:t>
      1) персонал.</w:t>
      </w:r>
    </w:p>
    <w:bookmarkEnd w:id="1184"/>
    <w:bookmarkStart w:name="z979" w:id="1185"/>
    <w:p>
      <w:pPr>
        <w:spacing w:after="0"/>
        <w:ind w:left="0"/>
        <w:jc w:val="both"/>
      </w:pPr>
      <w:r>
        <w:rPr>
          <w:rFonts w:ascii="Times New Roman"/>
          <w:b w:val="false"/>
          <w:i w:val="false"/>
          <w:color w:val="000000"/>
          <w:sz w:val="28"/>
        </w:rPr>
        <w:t>
      При определении персонала, как ресурса, необходимого для поддержания критичных видов деятельности банк определяет:</w:t>
      </w:r>
    </w:p>
    <w:bookmarkEnd w:id="1185"/>
    <w:bookmarkStart w:name="z980" w:id="1186"/>
    <w:p>
      <w:pPr>
        <w:spacing w:after="0"/>
        <w:ind w:left="0"/>
        <w:jc w:val="both"/>
      </w:pPr>
      <w:r>
        <w:rPr>
          <w:rFonts w:ascii="Times New Roman"/>
          <w:b w:val="false"/>
          <w:i w:val="false"/>
          <w:color w:val="000000"/>
          <w:sz w:val="28"/>
        </w:rPr>
        <w:t>
      необходимое количество работников;</w:t>
      </w:r>
    </w:p>
    <w:bookmarkEnd w:id="1186"/>
    <w:bookmarkStart w:name="z981" w:id="1187"/>
    <w:p>
      <w:pPr>
        <w:spacing w:after="0"/>
        <w:ind w:left="0"/>
        <w:jc w:val="both"/>
      </w:pPr>
      <w:r>
        <w:rPr>
          <w:rFonts w:ascii="Times New Roman"/>
          <w:b w:val="false"/>
          <w:i w:val="false"/>
          <w:color w:val="000000"/>
          <w:sz w:val="28"/>
        </w:rPr>
        <w:t>
      необходимые навыки и компетенции;</w:t>
      </w:r>
    </w:p>
    <w:bookmarkEnd w:id="1187"/>
    <w:bookmarkStart w:name="z982" w:id="1188"/>
    <w:p>
      <w:pPr>
        <w:spacing w:after="0"/>
        <w:ind w:left="0"/>
        <w:jc w:val="both"/>
      </w:pPr>
      <w:r>
        <w:rPr>
          <w:rFonts w:ascii="Times New Roman"/>
          <w:b w:val="false"/>
          <w:i w:val="false"/>
          <w:color w:val="000000"/>
          <w:sz w:val="28"/>
        </w:rPr>
        <w:t>
      2) помещения.</w:t>
      </w:r>
    </w:p>
    <w:bookmarkEnd w:id="1188"/>
    <w:bookmarkStart w:name="z983" w:id="1189"/>
    <w:p>
      <w:pPr>
        <w:spacing w:after="0"/>
        <w:ind w:left="0"/>
        <w:jc w:val="both"/>
      </w:pPr>
      <w:r>
        <w:rPr>
          <w:rFonts w:ascii="Times New Roman"/>
          <w:b w:val="false"/>
          <w:i w:val="false"/>
          <w:color w:val="000000"/>
          <w:sz w:val="28"/>
        </w:rPr>
        <w:t>
      При определении помещений, как ресурса, необходимого для поддержания критичных видов деятельности банк определяет:</w:t>
      </w:r>
    </w:p>
    <w:bookmarkEnd w:id="1189"/>
    <w:bookmarkStart w:name="z984" w:id="1190"/>
    <w:p>
      <w:pPr>
        <w:spacing w:after="0"/>
        <w:ind w:left="0"/>
        <w:jc w:val="both"/>
      </w:pPr>
      <w:r>
        <w:rPr>
          <w:rFonts w:ascii="Times New Roman"/>
          <w:b w:val="false"/>
          <w:i w:val="false"/>
          <w:color w:val="000000"/>
          <w:sz w:val="28"/>
        </w:rPr>
        <w:t>
      основные и альтернативные площадки;</w:t>
      </w:r>
    </w:p>
    <w:bookmarkEnd w:id="1190"/>
    <w:bookmarkStart w:name="z985" w:id="1191"/>
    <w:p>
      <w:pPr>
        <w:spacing w:after="0"/>
        <w:ind w:left="0"/>
        <w:jc w:val="both"/>
      </w:pPr>
      <w:r>
        <w:rPr>
          <w:rFonts w:ascii="Times New Roman"/>
          <w:b w:val="false"/>
          <w:i w:val="false"/>
          <w:color w:val="000000"/>
          <w:sz w:val="28"/>
        </w:rPr>
        <w:t>
      помещения, требующие повышенной защиты;</w:t>
      </w:r>
    </w:p>
    <w:bookmarkEnd w:id="1191"/>
    <w:bookmarkStart w:name="z986" w:id="1192"/>
    <w:p>
      <w:pPr>
        <w:spacing w:after="0"/>
        <w:ind w:left="0"/>
        <w:jc w:val="both"/>
      </w:pPr>
      <w:r>
        <w:rPr>
          <w:rFonts w:ascii="Times New Roman"/>
          <w:b w:val="false"/>
          <w:i w:val="false"/>
          <w:color w:val="000000"/>
          <w:sz w:val="28"/>
        </w:rPr>
        <w:t>
      3) технологии.</w:t>
      </w:r>
    </w:p>
    <w:bookmarkEnd w:id="1192"/>
    <w:bookmarkStart w:name="z987" w:id="1193"/>
    <w:p>
      <w:pPr>
        <w:spacing w:after="0"/>
        <w:ind w:left="0"/>
        <w:jc w:val="both"/>
      </w:pPr>
      <w:r>
        <w:rPr>
          <w:rFonts w:ascii="Times New Roman"/>
          <w:b w:val="false"/>
          <w:i w:val="false"/>
          <w:color w:val="000000"/>
          <w:sz w:val="28"/>
        </w:rPr>
        <w:t>
      При определении технологий, как ресурса, необходимого для поддержания критичных видов деятельности банк определяет:</w:t>
      </w:r>
    </w:p>
    <w:bookmarkEnd w:id="1193"/>
    <w:bookmarkStart w:name="z988" w:id="1194"/>
    <w:p>
      <w:pPr>
        <w:spacing w:after="0"/>
        <w:ind w:left="0"/>
        <w:jc w:val="both"/>
      </w:pPr>
      <w:r>
        <w:rPr>
          <w:rFonts w:ascii="Times New Roman"/>
          <w:b w:val="false"/>
          <w:i w:val="false"/>
          <w:color w:val="000000"/>
          <w:sz w:val="28"/>
        </w:rPr>
        <w:t>
      информационно-технологические услуги, поддерживающие критичные виды деятельности;</w:t>
      </w:r>
    </w:p>
    <w:bookmarkEnd w:id="1194"/>
    <w:bookmarkStart w:name="z989" w:id="1195"/>
    <w:p>
      <w:pPr>
        <w:spacing w:after="0"/>
        <w:ind w:left="0"/>
        <w:jc w:val="both"/>
      </w:pPr>
      <w:r>
        <w:rPr>
          <w:rFonts w:ascii="Times New Roman"/>
          <w:b w:val="false"/>
          <w:i w:val="false"/>
          <w:color w:val="000000"/>
          <w:sz w:val="28"/>
        </w:rPr>
        <w:t>
      телекоммуникационные услуги, поддерживающие критичные виды деятельности;</w:t>
      </w:r>
    </w:p>
    <w:bookmarkEnd w:id="1195"/>
    <w:bookmarkStart w:name="z990" w:id="1196"/>
    <w:p>
      <w:pPr>
        <w:spacing w:after="0"/>
        <w:ind w:left="0"/>
        <w:jc w:val="both"/>
      </w:pPr>
      <w:r>
        <w:rPr>
          <w:rFonts w:ascii="Times New Roman"/>
          <w:b w:val="false"/>
          <w:i w:val="false"/>
          <w:color w:val="000000"/>
          <w:sz w:val="28"/>
        </w:rPr>
        <w:t>
      прочие технологии, поддерживающие критичные виды деятельности, в том числе охрана периметра, технологии инкассации;</w:t>
      </w:r>
    </w:p>
    <w:bookmarkEnd w:id="1196"/>
    <w:bookmarkStart w:name="z991" w:id="1197"/>
    <w:p>
      <w:pPr>
        <w:spacing w:after="0"/>
        <w:ind w:left="0"/>
        <w:jc w:val="both"/>
      </w:pPr>
      <w:r>
        <w:rPr>
          <w:rFonts w:ascii="Times New Roman"/>
          <w:b w:val="false"/>
          <w:i w:val="false"/>
          <w:color w:val="000000"/>
          <w:sz w:val="28"/>
        </w:rPr>
        <w:t>
      4) информация.</w:t>
      </w:r>
    </w:p>
    <w:bookmarkEnd w:id="1197"/>
    <w:bookmarkStart w:name="z992" w:id="1198"/>
    <w:p>
      <w:pPr>
        <w:spacing w:after="0"/>
        <w:ind w:left="0"/>
        <w:jc w:val="both"/>
      </w:pPr>
      <w:r>
        <w:rPr>
          <w:rFonts w:ascii="Times New Roman"/>
          <w:b w:val="false"/>
          <w:i w:val="false"/>
          <w:color w:val="000000"/>
          <w:sz w:val="28"/>
        </w:rPr>
        <w:t>
      При определении информации, как ресурса, необходимого для поддержания критичных видов деятельности банк определяет:</w:t>
      </w:r>
    </w:p>
    <w:bookmarkEnd w:id="1198"/>
    <w:bookmarkStart w:name="z993" w:id="1199"/>
    <w:p>
      <w:pPr>
        <w:spacing w:after="0"/>
        <w:ind w:left="0"/>
        <w:jc w:val="both"/>
      </w:pPr>
      <w:r>
        <w:rPr>
          <w:rFonts w:ascii="Times New Roman"/>
          <w:b w:val="false"/>
          <w:i w:val="false"/>
          <w:color w:val="000000"/>
          <w:sz w:val="28"/>
        </w:rPr>
        <w:t>
      информацию, необходимую для выполнения критичных видов деятельности, включая внутренние документы банка;</w:t>
      </w:r>
    </w:p>
    <w:bookmarkEnd w:id="1199"/>
    <w:bookmarkStart w:name="z994" w:id="1200"/>
    <w:p>
      <w:pPr>
        <w:spacing w:after="0"/>
        <w:ind w:left="0"/>
        <w:jc w:val="both"/>
      </w:pPr>
      <w:r>
        <w:rPr>
          <w:rFonts w:ascii="Times New Roman"/>
          <w:b w:val="false"/>
          <w:i w:val="false"/>
          <w:color w:val="000000"/>
          <w:sz w:val="28"/>
        </w:rPr>
        <w:t>
      объем информации, требующей восстановления (целевая точка восстановления);</w:t>
      </w:r>
    </w:p>
    <w:bookmarkEnd w:id="1200"/>
    <w:bookmarkStart w:name="z995" w:id="1201"/>
    <w:p>
      <w:pPr>
        <w:spacing w:after="0"/>
        <w:ind w:left="0"/>
        <w:jc w:val="both"/>
      </w:pPr>
      <w:r>
        <w:rPr>
          <w:rFonts w:ascii="Times New Roman"/>
          <w:b w:val="false"/>
          <w:i w:val="false"/>
          <w:color w:val="000000"/>
          <w:sz w:val="28"/>
        </w:rPr>
        <w:t>
      методы хранения, защиты и восстановления информации;</w:t>
      </w:r>
    </w:p>
    <w:bookmarkEnd w:id="1201"/>
    <w:bookmarkStart w:name="z996" w:id="1202"/>
    <w:p>
      <w:pPr>
        <w:spacing w:after="0"/>
        <w:ind w:left="0"/>
        <w:jc w:val="both"/>
      </w:pPr>
      <w:r>
        <w:rPr>
          <w:rFonts w:ascii="Times New Roman"/>
          <w:b w:val="false"/>
          <w:i w:val="false"/>
          <w:color w:val="000000"/>
          <w:sz w:val="28"/>
        </w:rPr>
        <w:t>
      5) поставщики, внешние услуги и снабжение.</w:t>
      </w:r>
    </w:p>
    <w:bookmarkEnd w:id="1202"/>
    <w:bookmarkStart w:name="z997" w:id="1203"/>
    <w:p>
      <w:pPr>
        <w:spacing w:after="0"/>
        <w:ind w:left="0"/>
        <w:jc w:val="both"/>
      </w:pPr>
      <w:r>
        <w:rPr>
          <w:rFonts w:ascii="Times New Roman"/>
          <w:b w:val="false"/>
          <w:i w:val="false"/>
          <w:color w:val="000000"/>
          <w:sz w:val="28"/>
        </w:rPr>
        <w:t>
      Банк определяет поставщиков, внешние услуги и снабжение, от которых зависит выполнение критичных видов деятельности;</w:t>
      </w:r>
    </w:p>
    <w:bookmarkEnd w:id="1203"/>
    <w:bookmarkStart w:name="z998" w:id="1204"/>
    <w:p>
      <w:pPr>
        <w:spacing w:after="0"/>
        <w:ind w:left="0"/>
        <w:jc w:val="both"/>
      </w:pPr>
      <w:r>
        <w:rPr>
          <w:rFonts w:ascii="Times New Roman"/>
          <w:b w:val="false"/>
          <w:i w:val="false"/>
          <w:color w:val="000000"/>
          <w:sz w:val="28"/>
        </w:rPr>
        <w:t>
      6) финансовые ресурсы.</w:t>
      </w:r>
    </w:p>
    <w:bookmarkEnd w:id="1204"/>
    <w:bookmarkStart w:name="z999" w:id="1205"/>
    <w:p>
      <w:pPr>
        <w:spacing w:after="0"/>
        <w:ind w:left="0"/>
        <w:jc w:val="both"/>
      </w:pPr>
      <w:r>
        <w:rPr>
          <w:rFonts w:ascii="Times New Roman"/>
          <w:b w:val="false"/>
          <w:i w:val="false"/>
          <w:color w:val="000000"/>
          <w:sz w:val="28"/>
        </w:rPr>
        <w:t>
      Банк определяет объем финансовых ресурсов, потенциально доступный для исполнения плана (планов) обеспечения непрерывности и восстановления деятельности банка в случае возникновения непредвиденных обстоятельств.</w:t>
      </w:r>
    </w:p>
    <w:bookmarkEnd w:id="1205"/>
    <w:bookmarkStart w:name="z1000" w:id="1206"/>
    <w:p>
      <w:pPr>
        <w:spacing w:after="0"/>
        <w:ind w:left="0"/>
        <w:jc w:val="both"/>
      </w:pPr>
      <w:r>
        <w:rPr>
          <w:rFonts w:ascii="Times New Roman"/>
          <w:b w:val="false"/>
          <w:i w:val="false"/>
          <w:color w:val="000000"/>
          <w:sz w:val="28"/>
        </w:rPr>
        <w:t>
      66. Банк осуществляет анализ рисков непредвиденных обстоятельств, который позволяет оценить угрозы и уязвимость в критичных видах деятельности и используемых ими ресурсах. В качестве угроз, которые оказывают негативное воздействие на ресурсы, банк рассматривает, но, не ограничиваясь, следующее:</w:t>
      </w:r>
    </w:p>
    <w:bookmarkEnd w:id="1206"/>
    <w:bookmarkStart w:name="z1001" w:id="1207"/>
    <w:p>
      <w:pPr>
        <w:spacing w:after="0"/>
        <w:ind w:left="0"/>
        <w:jc w:val="both"/>
      </w:pPr>
      <w:r>
        <w:rPr>
          <w:rFonts w:ascii="Times New Roman"/>
          <w:b w:val="false"/>
          <w:i w:val="false"/>
          <w:color w:val="000000"/>
          <w:sz w:val="28"/>
        </w:rPr>
        <w:t>
      1) недоступность работников;</w:t>
      </w:r>
    </w:p>
    <w:bookmarkEnd w:id="1207"/>
    <w:bookmarkStart w:name="z1002" w:id="1208"/>
    <w:p>
      <w:pPr>
        <w:spacing w:after="0"/>
        <w:ind w:left="0"/>
        <w:jc w:val="both"/>
      </w:pPr>
      <w:r>
        <w:rPr>
          <w:rFonts w:ascii="Times New Roman"/>
          <w:b w:val="false"/>
          <w:i w:val="false"/>
          <w:color w:val="000000"/>
          <w:sz w:val="28"/>
        </w:rPr>
        <w:t>
      2) недоступность технологий, в том числе информационных и коммуникационных технологий (компьютерные вирусы, отказ компьютерных аппаратных средств, потеря связи);</w:t>
      </w:r>
    </w:p>
    <w:bookmarkEnd w:id="1208"/>
    <w:bookmarkStart w:name="z1003" w:id="1209"/>
    <w:p>
      <w:pPr>
        <w:spacing w:after="0"/>
        <w:ind w:left="0"/>
        <w:jc w:val="both"/>
      </w:pPr>
      <w:r>
        <w:rPr>
          <w:rFonts w:ascii="Times New Roman"/>
          <w:b w:val="false"/>
          <w:i w:val="false"/>
          <w:color w:val="000000"/>
          <w:sz w:val="28"/>
        </w:rPr>
        <w:t>
      3) недоступность снабжения (воды, электричества);</w:t>
      </w:r>
    </w:p>
    <w:bookmarkEnd w:id="1209"/>
    <w:bookmarkStart w:name="z1004" w:id="1210"/>
    <w:p>
      <w:pPr>
        <w:spacing w:after="0"/>
        <w:ind w:left="0"/>
        <w:jc w:val="both"/>
      </w:pPr>
      <w:r>
        <w:rPr>
          <w:rFonts w:ascii="Times New Roman"/>
          <w:b w:val="false"/>
          <w:i w:val="false"/>
          <w:color w:val="000000"/>
          <w:sz w:val="28"/>
        </w:rPr>
        <w:t>
      4) отсутствие доступа к зданиям (помещениям);</w:t>
      </w:r>
    </w:p>
    <w:bookmarkEnd w:id="1210"/>
    <w:bookmarkStart w:name="z1005" w:id="1211"/>
    <w:p>
      <w:pPr>
        <w:spacing w:after="0"/>
        <w:ind w:left="0"/>
        <w:jc w:val="both"/>
      </w:pPr>
      <w:r>
        <w:rPr>
          <w:rFonts w:ascii="Times New Roman"/>
          <w:b w:val="false"/>
          <w:i w:val="false"/>
          <w:color w:val="000000"/>
          <w:sz w:val="28"/>
        </w:rPr>
        <w:t>
      5) недоступность ключевых поставщиков, контрагентов;</w:t>
      </w:r>
    </w:p>
    <w:bookmarkEnd w:id="1211"/>
    <w:bookmarkStart w:name="z1006" w:id="1212"/>
    <w:p>
      <w:pPr>
        <w:spacing w:after="0"/>
        <w:ind w:left="0"/>
        <w:jc w:val="both"/>
      </w:pPr>
      <w:r>
        <w:rPr>
          <w:rFonts w:ascii="Times New Roman"/>
          <w:b w:val="false"/>
          <w:i w:val="false"/>
          <w:color w:val="000000"/>
          <w:sz w:val="28"/>
        </w:rPr>
        <w:t>
      6) недоступность ключевой информации;</w:t>
      </w:r>
    </w:p>
    <w:bookmarkEnd w:id="1212"/>
    <w:bookmarkStart w:name="z1007" w:id="1213"/>
    <w:p>
      <w:pPr>
        <w:spacing w:after="0"/>
        <w:ind w:left="0"/>
        <w:jc w:val="both"/>
      </w:pPr>
      <w:r>
        <w:rPr>
          <w:rFonts w:ascii="Times New Roman"/>
          <w:b w:val="false"/>
          <w:i w:val="false"/>
          <w:color w:val="000000"/>
          <w:sz w:val="28"/>
        </w:rPr>
        <w:t>
      7) недоступность финансовых ресурсов.</w:t>
      </w:r>
    </w:p>
    <w:bookmarkEnd w:id="1213"/>
    <w:bookmarkStart w:name="z1008" w:id="1214"/>
    <w:p>
      <w:pPr>
        <w:spacing w:after="0"/>
        <w:ind w:left="0"/>
        <w:jc w:val="both"/>
      </w:pPr>
      <w:r>
        <w:rPr>
          <w:rFonts w:ascii="Times New Roman"/>
          <w:b w:val="false"/>
          <w:i w:val="false"/>
          <w:color w:val="000000"/>
          <w:sz w:val="28"/>
        </w:rPr>
        <w:t>
      67. Банк определяет меры управления рисками непредвиденных обстоятельств, которые охватывают (но, не ограничиваясь) следующие ключевые ресурсы:</w:t>
      </w:r>
    </w:p>
    <w:bookmarkEnd w:id="1214"/>
    <w:bookmarkStart w:name="z1009" w:id="1215"/>
    <w:p>
      <w:pPr>
        <w:spacing w:after="0"/>
        <w:ind w:left="0"/>
        <w:jc w:val="both"/>
      </w:pPr>
      <w:r>
        <w:rPr>
          <w:rFonts w:ascii="Times New Roman"/>
          <w:b w:val="false"/>
          <w:i w:val="false"/>
          <w:color w:val="000000"/>
          <w:sz w:val="28"/>
        </w:rPr>
        <w:t>
      1) персонал;</w:t>
      </w:r>
    </w:p>
    <w:bookmarkEnd w:id="1215"/>
    <w:bookmarkStart w:name="z1010" w:id="1216"/>
    <w:p>
      <w:pPr>
        <w:spacing w:after="0"/>
        <w:ind w:left="0"/>
        <w:jc w:val="both"/>
      </w:pPr>
      <w:r>
        <w:rPr>
          <w:rFonts w:ascii="Times New Roman"/>
          <w:b w:val="false"/>
          <w:i w:val="false"/>
          <w:color w:val="000000"/>
          <w:sz w:val="28"/>
        </w:rPr>
        <w:t>
      2) помещения;</w:t>
      </w:r>
    </w:p>
    <w:bookmarkEnd w:id="1216"/>
    <w:bookmarkStart w:name="z1011" w:id="1217"/>
    <w:p>
      <w:pPr>
        <w:spacing w:after="0"/>
        <w:ind w:left="0"/>
        <w:jc w:val="both"/>
      </w:pPr>
      <w:r>
        <w:rPr>
          <w:rFonts w:ascii="Times New Roman"/>
          <w:b w:val="false"/>
          <w:i w:val="false"/>
          <w:color w:val="000000"/>
          <w:sz w:val="28"/>
        </w:rPr>
        <w:t>
      3) технологии;</w:t>
      </w:r>
    </w:p>
    <w:bookmarkEnd w:id="1217"/>
    <w:bookmarkStart w:name="z1012" w:id="1218"/>
    <w:p>
      <w:pPr>
        <w:spacing w:after="0"/>
        <w:ind w:left="0"/>
        <w:jc w:val="both"/>
      </w:pPr>
      <w:r>
        <w:rPr>
          <w:rFonts w:ascii="Times New Roman"/>
          <w:b w:val="false"/>
          <w:i w:val="false"/>
          <w:color w:val="000000"/>
          <w:sz w:val="28"/>
        </w:rPr>
        <w:t>
      4) информацию;</w:t>
      </w:r>
    </w:p>
    <w:bookmarkEnd w:id="1218"/>
    <w:bookmarkStart w:name="z1013" w:id="1219"/>
    <w:p>
      <w:pPr>
        <w:spacing w:after="0"/>
        <w:ind w:left="0"/>
        <w:jc w:val="both"/>
      </w:pPr>
      <w:r>
        <w:rPr>
          <w:rFonts w:ascii="Times New Roman"/>
          <w:b w:val="false"/>
          <w:i w:val="false"/>
          <w:color w:val="000000"/>
          <w:sz w:val="28"/>
        </w:rPr>
        <w:t>
      5) поставщиков, контрагентов и каналы снабжения.</w:t>
      </w:r>
    </w:p>
    <w:bookmarkEnd w:id="1219"/>
    <w:bookmarkStart w:name="z1014" w:id="1220"/>
    <w:p>
      <w:pPr>
        <w:spacing w:after="0"/>
        <w:ind w:left="0"/>
        <w:jc w:val="both"/>
      </w:pPr>
      <w:r>
        <w:rPr>
          <w:rFonts w:ascii="Times New Roman"/>
          <w:b w:val="false"/>
          <w:i w:val="false"/>
          <w:color w:val="000000"/>
          <w:sz w:val="28"/>
        </w:rPr>
        <w:t>
      При выборе мер управления рисками непредвиденных обстоятельств банк учитывает результаты анализа влияния на деятельность банка и определяет, в том числе внутренний порядок взаимодействия с внешними поставщиками, участвующими в восстановительных работах, с внешними контрагентами (вкладчиками, кредиторами), акционерами банка, с уполномоченным органом и иными органами власти, а также со средствами массовой информации и другими заинтересованными сторонами.</w:t>
      </w:r>
    </w:p>
    <w:bookmarkEnd w:id="1220"/>
    <w:bookmarkStart w:name="z1015" w:id="1221"/>
    <w:p>
      <w:pPr>
        <w:spacing w:after="0"/>
        <w:ind w:left="0"/>
        <w:jc w:val="both"/>
      </w:pPr>
      <w:r>
        <w:rPr>
          <w:rFonts w:ascii="Times New Roman"/>
          <w:b w:val="false"/>
          <w:i w:val="false"/>
          <w:color w:val="000000"/>
          <w:sz w:val="28"/>
        </w:rPr>
        <w:t>
      При выборе мер управления рисками непредвиденных обстоятельств банк учитывает, но не ограничивается следующими факторами:</w:t>
      </w:r>
    </w:p>
    <w:bookmarkEnd w:id="1221"/>
    <w:bookmarkStart w:name="z1016" w:id="1222"/>
    <w:p>
      <w:pPr>
        <w:spacing w:after="0"/>
        <w:ind w:left="0"/>
        <w:jc w:val="both"/>
      </w:pPr>
      <w:r>
        <w:rPr>
          <w:rFonts w:ascii="Times New Roman"/>
          <w:b w:val="false"/>
          <w:i w:val="false"/>
          <w:color w:val="000000"/>
          <w:sz w:val="28"/>
        </w:rPr>
        <w:t>
      максимально приемлемый период простоя критичного вида деятельности;</w:t>
      </w:r>
    </w:p>
    <w:bookmarkEnd w:id="1222"/>
    <w:bookmarkStart w:name="z1017" w:id="1223"/>
    <w:p>
      <w:pPr>
        <w:spacing w:after="0"/>
        <w:ind w:left="0"/>
        <w:jc w:val="both"/>
      </w:pPr>
      <w:r>
        <w:rPr>
          <w:rFonts w:ascii="Times New Roman"/>
          <w:b w:val="false"/>
          <w:i w:val="false"/>
          <w:color w:val="000000"/>
          <w:sz w:val="28"/>
        </w:rPr>
        <w:t>
      затраты на реализацию плана (планов) обеспечения непрерывности и восстановления деятельности;</w:t>
      </w:r>
    </w:p>
    <w:bookmarkEnd w:id="1223"/>
    <w:bookmarkStart w:name="z1018" w:id="1224"/>
    <w:p>
      <w:pPr>
        <w:spacing w:after="0"/>
        <w:ind w:left="0"/>
        <w:jc w:val="both"/>
      </w:pPr>
      <w:r>
        <w:rPr>
          <w:rFonts w:ascii="Times New Roman"/>
          <w:b w:val="false"/>
          <w:i w:val="false"/>
          <w:color w:val="000000"/>
          <w:sz w:val="28"/>
        </w:rPr>
        <w:t>
      последствия непринятия мер;</w:t>
      </w:r>
    </w:p>
    <w:bookmarkEnd w:id="1224"/>
    <w:bookmarkStart w:name="z1019" w:id="1225"/>
    <w:p>
      <w:pPr>
        <w:spacing w:after="0"/>
        <w:ind w:left="0"/>
        <w:jc w:val="both"/>
      </w:pPr>
      <w:r>
        <w:rPr>
          <w:rFonts w:ascii="Times New Roman"/>
          <w:b w:val="false"/>
          <w:i w:val="false"/>
          <w:color w:val="000000"/>
          <w:sz w:val="28"/>
        </w:rPr>
        <w:t>
      реалистичность рисков и величину потерь от их реализации;</w:t>
      </w:r>
    </w:p>
    <w:bookmarkEnd w:id="1225"/>
    <w:bookmarkStart w:name="z1020" w:id="1226"/>
    <w:p>
      <w:pPr>
        <w:spacing w:after="0"/>
        <w:ind w:left="0"/>
        <w:jc w:val="both"/>
      </w:pPr>
      <w:r>
        <w:rPr>
          <w:rFonts w:ascii="Times New Roman"/>
          <w:b w:val="false"/>
          <w:i w:val="false"/>
          <w:color w:val="000000"/>
          <w:sz w:val="28"/>
        </w:rPr>
        <w:t>
      согласованность с установленными целями системы управления непрерывностью деятельности;</w:t>
      </w:r>
    </w:p>
    <w:bookmarkEnd w:id="1226"/>
    <w:bookmarkStart w:name="z1021" w:id="1227"/>
    <w:p>
      <w:pPr>
        <w:spacing w:after="0"/>
        <w:ind w:left="0"/>
        <w:jc w:val="both"/>
      </w:pPr>
      <w:r>
        <w:rPr>
          <w:rFonts w:ascii="Times New Roman"/>
          <w:b w:val="false"/>
          <w:i w:val="false"/>
          <w:color w:val="000000"/>
          <w:sz w:val="28"/>
        </w:rPr>
        <w:t>
      согласованность с политикой и процедурами по управлению непрерывностью деятельности банка.</w:t>
      </w:r>
    </w:p>
    <w:bookmarkEnd w:id="1227"/>
    <w:bookmarkStart w:name="z1022" w:id="1228"/>
    <w:p>
      <w:pPr>
        <w:spacing w:after="0"/>
        <w:ind w:left="0"/>
        <w:jc w:val="both"/>
      </w:pPr>
      <w:r>
        <w:rPr>
          <w:rFonts w:ascii="Times New Roman"/>
          <w:b w:val="false"/>
          <w:i w:val="false"/>
          <w:color w:val="000000"/>
          <w:sz w:val="28"/>
        </w:rPr>
        <w:t>
      Банк определяет меры по поддержанию ключевых знаний и компетенций для обеспечения непрерывности своей деятельности. Меры включают, но, не ограничиваясь, следующее:</w:t>
      </w:r>
    </w:p>
    <w:bookmarkEnd w:id="1228"/>
    <w:bookmarkStart w:name="z1023" w:id="1229"/>
    <w:p>
      <w:pPr>
        <w:spacing w:after="0"/>
        <w:ind w:left="0"/>
        <w:jc w:val="both"/>
      </w:pPr>
      <w:r>
        <w:rPr>
          <w:rFonts w:ascii="Times New Roman"/>
          <w:b w:val="false"/>
          <w:i w:val="false"/>
          <w:color w:val="000000"/>
          <w:sz w:val="28"/>
        </w:rPr>
        <w:t>
      регламентирование внутреннего порядка осуществления критичных видов деятельности;</w:t>
      </w:r>
    </w:p>
    <w:bookmarkEnd w:id="1229"/>
    <w:bookmarkStart w:name="z1024" w:id="1230"/>
    <w:p>
      <w:pPr>
        <w:spacing w:after="0"/>
        <w:ind w:left="0"/>
        <w:jc w:val="both"/>
      </w:pPr>
      <w:r>
        <w:rPr>
          <w:rFonts w:ascii="Times New Roman"/>
          <w:b w:val="false"/>
          <w:i w:val="false"/>
          <w:color w:val="000000"/>
          <w:sz w:val="28"/>
        </w:rPr>
        <w:t>
      ведение списка дополнительных компетенций персонала, не использующихся в повседневной деятельности, для перераспределения функций в условиях нехватки работников;</w:t>
      </w:r>
    </w:p>
    <w:bookmarkEnd w:id="1230"/>
    <w:bookmarkStart w:name="z1025" w:id="1231"/>
    <w:p>
      <w:pPr>
        <w:spacing w:after="0"/>
        <w:ind w:left="0"/>
        <w:jc w:val="both"/>
      </w:pPr>
      <w:r>
        <w:rPr>
          <w:rFonts w:ascii="Times New Roman"/>
          <w:b w:val="false"/>
          <w:i w:val="false"/>
          <w:color w:val="000000"/>
          <w:sz w:val="28"/>
        </w:rPr>
        <w:t>
      обучение персонала профессиональным навыкам, включая проведение кросс-функциональных тренингов.</w:t>
      </w:r>
    </w:p>
    <w:bookmarkEnd w:id="1231"/>
    <w:bookmarkStart w:name="z1026" w:id="1232"/>
    <w:p>
      <w:pPr>
        <w:spacing w:after="0"/>
        <w:ind w:left="0"/>
        <w:jc w:val="both"/>
      </w:pPr>
      <w:r>
        <w:rPr>
          <w:rFonts w:ascii="Times New Roman"/>
          <w:b w:val="false"/>
          <w:i w:val="false"/>
          <w:color w:val="000000"/>
          <w:sz w:val="28"/>
        </w:rPr>
        <w:t>
      Банк определяет меры по снижению влияния на предоставление критичных продуктов и услуг в связи с отсутствием основных помещений. Эти меры включают, но, не ограничиваясь, следующее:</w:t>
      </w:r>
    </w:p>
    <w:bookmarkEnd w:id="1232"/>
    <w:bookmarkStart w:name="z1027" w:id="1233"/>
    <w:p>
      <w:pPr>
        <w:spacing w:after="0"/>
        <w:ind w:left="0"/>
        <w:jc w:val="both"/>
      </w:pPr>
      <w:r>
        <w:rPr>
          <w:rFonts w:ascii="Times New Roman"/>
          <w:b w:val="false"/>
          <w:i w:val="false"/>
          <w:color w:val="000000"/>
          <w:sz w:val="28"/>
        </w:rPr>
        <w:t>
      предоставление альтернативных помещений;</w:t>
      </w:r>
    </w:p>
    <w:bookmarkEnd w:id="1233"/>
    <w:bookmarkStart w:name="z1028" w:id="1234"/>
    <w:p>
      <w:pPr>
        <w:spacing w:after="0"/>
        <w:ind w:left="0"/>
        <w:jc w:val="both"/>
      </w:pPr>
      <w:r>
        <w:rPr>
          <w:rFonts w:ascii="Times New Roman"/>
          <w:b w:val="false"/>
          <w:i w:val="false"/>
          <w:color w:val="000000"/>
          <w:sz w:val="28"/>
        </w:rPr>
        <w:t>
      перевод персонала в другие помещения банка;</w:t>
      </w:r>
    </w:p>
    <w:bookmarkEnd w:id="1234"/>
    <w:bookmarkStart w:name="z1029" w:id="1235"/>
    <w:p>
      <w:pPr>
        <w:spacing w:after="0"/>
        <w:ind w:left="0"/>
        <w:jc w:val="both"/>
      </w:pPr>
      <w:r>
        <w:rPr>
          <w:rFonts w:ascii="Times New Roman"/>
          <w:b w:val="false"/>
          <w:i w:val="false"/>
          <w:color w:val="000000"/>
          <w:sz w:val="28"/>
        </w:rPr>
        <w:t>
      использование рабочих мест работников, выполняющих некритичную работу;</w:t>
      </w:r>
    </w:p>
    <w:bookmarkEnd w:id="1235"/>
    <w:bookmarkStart w:name="z1030" w:id="1236"/>
    <w:p>
      <w:pPr>
        <w:spacing w:after="0"/>
        <w:ind w:left="0"/>
        <w:jc w:val="both"/>
      </w:pPr>
      <w:r>
        <w:rPr>
          <w:rFonts w:ascii="Times New Roman"/>
          <w:b w:val="false"/>
          <w:i w:val="false"/>
          <w:color w:val="000000"/>
          <w:sz w:val="28"/>
        </w:rPr>
        <w:t>
      работа на дому или в удаленных помещениях.</w:t>
      </w:r>
    </w:p>
    <w:bookmarkEnd w:id="1236"/>
    <w:bookmarkStart w:name="z1031" w:id="1237"/>
    <w:p>
      <w:pPr>
        <w:spacing w:after="0"/>
        <w:ind w:left="0"/>
        <w:jc w:val="both"/>
      </w:pPr>
      <w:r>
        <w:rPr>
          <w:rFonts w:ascii="Times New Roman"/>
          <w:b w:val="false"/>
          <w:i w:val="false"/>
          <w:color w:val="000000"/>
          <w:sz w:val="28"/>
        </w:rPr>
        <w:t>
      При выборе альтернативного помещения банк учитывает, но, не ограничиваясь, следующие особенности:</w:t>
      </w:r>
    </w:p>
    <w:bookmarkEnd w:id="1237"/>
    <w:bookmarkStart w:name="z1032" w:id="1238"/>
    <w:p>
      <w:pPr>
        <w:spacing w:after="0"/>
        <w:ind w:left="0"/>
        <w:jc w:val="both"/>
      </w:pPr>
      <w:r>
        <w:rPr>
          <w:rFonts w:ascii="Times New Roman"/>
          <w:b w:val="false"/>
          <w:i w:val="false"/>
          <w:color w:val="000000"/>
          <w:sz w:val="28"/>
        </w:rPr>
        <w:t>
      защищенность помещения;</w:t>
      </w:r>
    </w:p>
    <w:bookmarkEnd w:id="1238"/>
    <w:bookmarkStart w:name="z1033" w:id="1239"/>
    <w:p>
      <w:pPr>
        <w:spacing w:after="0"/>
        <w:ind w:left="0"/>
        <w:jc w:val="both"/>
      </w:pPr>
      <w:r>
        <w:rPr>
          <w:rFonts w:ascii="Times New Roman"/>
          <w:b w:val="false"/>
          <w:i w:val="false"/>
          <w:color w:val="000000"/>
          <w:sz w:val="28"/>
        </w:rPr>
        <w:t>
      доступ к помещению;</w:t>
      </w:r>
    </w:p>
    <w:bookmarkEnd w:id="1239"/>
    <w:bookmarkStart w:name="z1034" w:id="1240"/>
    <w:p>
      <w:pPr>
        <w:spacing w:after="0"/>
        <w:ind w:left="0"/>
        <w:jc w:val="both"/>
      </w:pPr>
      <w:r>
        <w:rPr>
          <w:rFonts w:ascii="Times New Roman"/>
          <w:b w:val="false"/>
          <w:i w:val="false"/>
          <w:color w:val="000000"/>
          <w:sz w:val="28"/>
        </w:rPr>
        <w:t>
      близость от основного помещения;</w:t>
      </w:r>
    </w:p>
    <w:bookmarkEnd w:id="1240"/>
    <w:bookmarkStart w:name="z1035" w:id="1241"/>
    <w:p>
      <w:pPr>
        <w:spacing w:after="0"/>
        <w:ind w:left="0"/>
        <w:jc w:val="both"/>
      </w:pPr>
      <w:r>
        <w:rPr>
          <w:rFonts w:ascii="Times New Roman"/>
          <w:b w:val="false"/>
          <w:i w:val="false"/>
          <w:color w:val="000000"/>
          <w:sz w:val="28"/>
        </w:rPr>
        <w:t>
      наличие необходимых коммуникаций.</w:t>
      </w:r>
    </w:p>
    <w:bookmarkEnd w:id="1241"/>
    <w:bookmarkStart w:name="z1036" w:id="1242"/>
    <w:p>
      <w:pPr>
        <w:spacing w:after="0"/>
        <w:ind w:left="0"/>
        <w:jc w:val="both"/>
      </w:pPr>
      <w:r>
        <w:rPr>
          <w:rFonts w:ascii="Times New Roman"/>
          <w:b w:val="false"/>
          <w:i w:val="false"/>
          <w:color w:val="000000"/>
          <w:sz w:val="28"/>
        </w:rPr>
        <w:t>
      Банк определяет меры по поддержанию работоспособности информационно-технологических и коммуникационных услуг, необходимых для обеспечения непрерывности деятельности.</w:t>
      </w:r>
    </w:p>
    <w:bookmarkEnd w:id="1242"/>
    <w:bookmarkStart w:name="z1037" w:id="1243"/>
    <w:p>
      <w:pPr>
        <w:spacing w:after="0"/>
        <w:ind w:left="0"/>
        <w:jc w:val="both"/>
      </w:pPr>
      <w:r>
        <w:rPr>
          <w:rFonts w:ascii="Times New Roman"/>
          <w:b w:val="false"/>
          <w:i w:val="false"/>
          <w:color w:val="000000"/>
          <w:sz w:val="28"/>
        </w:rPr>
        <w:t>
      Банк определяет меры по обеспечению целостности, доступности и конфиденциальности информации, необходимой для обеспечения непрерывности деятельности в случае критичного события.</w:t>
      </w:r>
    </w:p>
    <w:bookmarkEnd w:id="1243"/>
    <w:bookmarkStart w:name="z1038" w:id="1244"/>
    <w:p>
      <w:pPr>
        <w:spacing w:after="0"/>
        <w:ind w:left="0"/>
        <w:jc w:val="both"/>
      </w:pPr>
      <w:r>
        <w:rPr>
          <w:rFonts w:ascii="Times New Roman"/>
          <w:b w:val="false"/>
          <w:i w:val="false"/>
          <w:color w:val="000000"/>
          <w:sz w:val="28"/>
        </w:rPr>
        <w:t>
      Банк определяет перечень используемых ресурсов (включая материальное снабжение, финансовые ресурсы) и мероприятия по обеспечению их наличия, в том числе от внешних поставщиков и контрагентов и иных заинтересованных лиц в случае критичного события, который включает:</w:t>
      </w:r>
    </w:p>
    <w:bookmarkEnd w:id="1244"/>
    <w:bookmarkStart w:name="z1039" w:id="1245"/>
    <w:p>
      <w:pPr>
        <w:spacing w:after="0"/>
        <w:ind w:left="0"/>
        <w:jc w:val="both"/>
      </w:pPr>
      <w:r>
        <w:rPr>
          <w:rFonts w:ascii="Times New Roman"/>
          <w:b w:val="false"/>
          <w:i w:val="false"/>
          <w:color w:val="000000"/>
          <w:sz w:val="28"/>
        </w:rPr>
        <w:t>
      хранение дополнительных ресурсов, в том числе технологического и телекоммуникационного оборудования, в складских помещениях;</w:t>
      </w:r>
    </w:p>
    <w:bookmarkEnd w:id="1245"/>
    <w:bookmarkStart w:name="z1040" w:id="1246"/>
    <w:p>
      <w:pPr>
        <w:spacing w:after="0"/>
        <w:ind w:left="0"/>
        <w:jc w:val="both"/>
      </w:pPr>
      <w:r>
        <w:rPr>
          <w:rFonts w:ascii="Times New Roman"/>
          <w:b w:val="false"/>
          <w:i w:val="false"/>
          <w:color w:val="000000"/>
          <w:sz w:val="28"/>
        </w:rPr>
        <w:t>
      соглашения с поставщиком о срочной доставке (замене) ресурсов на складе;</w:t>
      </w:r>
    </w:p>
    <w:bookmarkEnd w:id="1246"/>
    <w:bookmarkStart w:name="z1041" w:id="1247"/>
    <w:p>
      <w:pPr>
        <w:spacing w:after="0"/>
        <w:ind w:left="0"/>
        <w:jc w:val="both"/>
      </w:pPr>
      <w:r>
        <w:rPr>
          <w:rFonts w:ascii="Times New Roman"/>
          <w:b w:val="false"/>
          <w:i w:val="false"/>
          <w:color w:val="000000"/>
          <w:sz w:val="28"/>
        </w:rPr>
        <w:t>
      наличие альтернативных поставщиков ресурсов.</w:t>
      </w:r>
    </w:p>
    <w:bookmarkEnd w:id="1247"/>
    <w:bookmarkStart w:name="z1042" w:id="1248"/>
    <w:p>
      <w:pPr>
        <w:spacing w:after="0"/>
        <w:ind w:left="0"/>
        <w:jc w:val="both"/>
      </w:pPr>
      <w:r>
        <w:rPr>
          <w:rFonts w:ascii="Times New Roman"/>
          <w:b w:val="false"/>
          <w:i w:val="false"/>
          <w:color w:val="000000"/>
          <w:sz w:val="28"/>
        </w:rPr>
        <w:t>
      68. Банк обеспечивает разработку и наличие плана (планов) по обеспечению непрерывности и (или) восстановлению деятельности. План (планы) по обеспечению непрерывности и (или) восстановлению деятельности отвечает (отвечают) следующим принципам:</w:t>
      </w:r>
    </w:p>
    <w:bookmarkEnd w:id="1248"/>
    <w:bookmarkStart w:name="z1043" w:id="1249"/>
    <w:p>
      <w:pPr>
        <w:spacing w:after="0"/>
        <w:ind w:left="0"/>
        <w:jc w:val="both"/>
      </w:pPr>
      <w:r>
        <w:rPr>
          <w:rFonts w:ascii="Times New Roman"/>
          <w:b w:val="false"/>
          <w:i w:val="false"/>
          <w:color w:val="000000"/>
          <w:sz w:val="28"/>
        </w:rPr>
        <w:t>
      1) понятен ответственным лицам;</w:t>
      </w:r>
    </w:p>
    <w:bookmarkEnd w:id="1249"/>
    <w:bookmarkStart w:name="z1044" w:id="1250"/>
    <w:p>
      <w:pPr>
        <w:spacing w:after="0"/>
        <w:ind w:left="0"/>
        <w:jc w:val="both"/>
      </w:pPr>
      <w:r>
        <w:rPr>
          <w:rFonts w:ascii="Times New Roman"/>
          <w:b w:val="false"/>
          <w:i w:val="false"/>
          <w:color w:val="000000"/>
          <w:sz w:val="28"/>
        </w:rPr>
        <w:t>
      2) доступен для использования ответственными лицами;</w:t>
      </w:r>
    </w:p>
    <w:bookmarkEnd w:id="1250"/>
    <w:bookmarkStart w:name="z1045" w:id="1251"/>
    <w:p>
      <w:pPr>
        <w:spacing w:after="0"/>
        <w:ind w:left="0"/>
        <w:jc w:val="both"/>
      </w:pPr>
      <w:r>
        <w:rPr>
          <w:rFonts w:ascii="Times New Roman"/>
          <w:b w:val="false"/>
          <w:i w:val="false"/>
          <w:color w:val="000000"/>
          <w:sz w:val="28"/>
        </w:rPr>
        <w:t>
      3) имеет цели и область применения, соответствующие политике управления непрерывностью деятельности, включая:</w:t>
      </w:r>
    </w:p>
    <w:bookmarkEnd w:id="1251"/>
    <w:bookmarkStart w:name="z1046" w:id="1252"/>
    <w:p>
      <w:pPr>
        <w:spacing w:after="0"/>
        <w:ind w:left="0"/>
        <w:jc w:val="both"/>
      </w:pPr>
      <w:r>
        <w:rPr>
          <w:rFonts w:ascii="Times New Roman"/>
          <w:b w:val="false"/>
          <w:i w:val="false"/>
          <w:color w:val="000000"/>
          <w:sz w:val="28"/>
        </w:rPr>
        <w:t>
      список критичных видов деятельности банка, а также максимальное допустимое время простоя, в том числе требующих восстановления;</w:t>
      </w:r>
    </w:p>
    <w:bookmarkEnd w:id="1252"/>
    <w:bookmarkStart w:name="z1047" w:id="1253"/>
    <w:p>
      <w:pPr>
        <w:spacing w:after="0"/>
        <w:ind w:left="0"/>
        <w:jc w:val="both"/>
      </w:pPr>
      <w:r>
        <w:rPr>
          <w:rFonts w:ascii="Times New Roman"/>
          <w:b w:val="false"/>
          <w:i w:val="false"/>
          <w:color w:val="000000"/>
          <w:sz w:val="28"/>
        </w:rPr>
        <w:t>
      целевое время восстановления критичных видов деятельности, в том числе для информационных технологий и телекоммуникаций;</w:t>
      </w:r>
    </w:p>
    <w:bookmarkEnd w:id="1253"/>
    <w:bookmarkStart w:name="z1048" w:id="1254"/>
    <w:p>
      <w:pPr>
        <w:spacing w:after="0"/>
        <w:ind w:left="0"/>
        <w:jc w:val="both"/>
      </w:pPr>
      <w:r>
        <w:rPr>
          <w:rFonts w:ascii="Times New Roman"/>
          <w:b w:val="false"/>
          <w:i w:val="false"/>
          <w:color w:val="000000"/>
          <w:sz w:val="28"/>
        </w:rPr>
        <w:t>
      меры по минимизации риска потери репутации;</w:t>
      </w:r>
    </w:p>
    <w:bookmarkEnd w:id="1254"/>
    <w:bookmarkStart w:name="z1049" w:id="1255"/>
    <w:p>
      <w:pPr>
        <w:spacing w:after="0"/>
        <w:ind w:left="0"/>
        <w:jc w:val="both"/>
      </w:pPr>
      <w:r>
        <w:rPr>
          <w:rFonts w:ascii="Times New Roman"/>
          <w:b w:val="false"/>
          <w:i w:val="false"/>
          <w:color w:val="000000"/>
          <w:sz w:val="28"/>
        </w:rPr>
        <w:t>
      4) согласовывается с действиями внешних организаций;</w:t>
      </w:r>
    </w:p>
    <w:bookmarkEnd w:id="1255"/>
    <w:bookmarkStart w:name="z1050" w:id="1256"/>
    <w:p>
      <w:pPr>
        <w:spacing w:after="0"/>
        <w:ind w:left="0"/>
        <w:jc w:val="both"/>
      </w:pPr>
      <w:r>
        <w:rPr>
          <w:rFonts w:ascii="Times New Roman"/>
          <w:b w:val="false"/>
          <w:i w:val="false"/>
          <w:color w:val="000000"/>
          <w:sz w:val="28"/>
        </w:rPr>
        <w:t>
      5) содержит описание функций и ответственности персонала, участвующего в обеспечении непрерывности и восстановления деятельности;</w:t>
      </w:r>
    </w:p>
    <w:bookmarkEnd w:id="1256"/>
    <w:bookmarkStart w:name="z1051" w:id="1257"/>
    <w:p>
      <w:pPr>
        <w:spacing w:after="0"/>
        <w:ind w:left="0"/>
        <w:jc w:val="both"/>
      </w:pPr>
      <w:r>
        <w:rPr>
          <w:rFonts w:ascii="Times New Roman"/>
          <w:b w:val="false"/>
          <w:i w:val="false"/>
          <w:color w:val="000000"/>
          <w:sz w:val="28"/>
        </w:rPr>
        <w:t>
      6) имеет схему активации, в том числе:</w:t>
      </w:r>
    </w:p>
    <w:bookmarkEnd w:id="1257"/>
    <w:bookmarkStart w:name="z1052" w:id="1258"/>
    <w:p>
      <w:pPr>
        <w:spacing w:after="0"/>
        <w:ind w:left="0"/>
        <w:jc w:val="both"/>
      </w:pPr>
      <w:r>
        <w:rPr>
          <w:rFonts w:ascii="Times New Roman"/>
          <w:b w:val="false"/>
          <w:i w:val="false"/>
          <w:color w:val="000000"/>
          <w:sz w:val="28"/>
        </w:rPr>
        <w:t>
      процедуру принятия решения об активации, включая список работников, ответственных за подтверждение активации и условия, при которых требуется активация плана;</w:t>
      </w:r>
    </w:p>
    <w:bookmarkEnd w:id="1258"/>
    <w:bookmarkStart w:name="z1053" w:id="1259"/>
    <w:p>
      <w:pPr>
        <w:spacing w:after="0"/>
        <w:ind w:left="0"/>
        <w:jc w:val="both"/>
      </w:pPr>
      <w:r>
        <w:rPr>
          <w:rFonts w:ascii="Times New Roman"/>
          <w:b w:val="false"/>
          <w:i w:val="false"/>
          <w:color w:val="000000"/>
          <w:sz w:val="28"/>
        </w:rPr>
        <w:t>
      список работников, информируемых об активации плана;</w:t>
      </w:r>
    </w:p>
    <w:bookmarkEnd w:id="1259"/>
    <w:bookmarkStart w:name="z1054" w:id="1260"/>
    <w:p>
      <w:pPr>
        <w:spacing w:after="0"/>
        <w:ind w:left="0"/>
        <w:jc w:val="both"/>
      </w:pPr>
      <w:r>
        <w:rPr>
          <w:rFonts w:ascii="Times New Roman"/>
          <w:b w:val="false"/>
          <w:i w:val="false"/>
          <w:color w:val="000000"/>
          <w:sz w:val="28"/>
        </w:rPr>
        <w:t>
      7) содержит схему аварийных внешних и внутренних коммуникаций, уделяя внимание:</w:t>
      </w:r>
    </w:p>
    <w:bookmarkEnd w:id="1260"/>
    <w:bookmarkStart w:name="z1055" w:id="1261"/>
    <w:p>
      <w:pPr>
        <w:spacing w:after="0"/>
        <w:ind w:left="0"/>
        <w:jc w:val="both"/>
      </w:pPr>
      <w:r>
        <w:rPr>
          <w:rFonts w:ascii="Times New Roman"/>
          <w:b w:val="false"/>
          <w:i w:val="false"/>
          <w:color w:val="000000"/>
          <w:sz w:val="28"/>
        </w:rPr>
        <w:t>
      коммуникациям внутри команды работников, участвующих в восстановлении и аварийном предоставлении критичных продуктов и услуг;</w:t>
      </w:r>
    </w:p>
    <w:bookmarkEnd w:id="1261"/>
    <w:bookmarkStart w:name="z1056" w:id="1262"/>
    <w:p>
      <w:pPr>
        <w:spacing w:after="0"/>
        <w:ind w:left="0"/>
        <w:jc w:val="both"/>
      </w:pPr>
      <w:r>
        <w:rPr>
          <w:rFonts w:ascii="Times New Roman"/>
          <w:b w:val="false"/>
          <w:i w:val="false"/>
          <w:color w:val="000000"/>
          <w:sz w:val="28"/>
        </w:rPr>
        <w:t>
      коммуникациям с внешними организациями, участвующими в обеспечении непрерывности деятельности;</w:t>
      </w:r>
    </w:p>
    <w:bookmarkEnd w:id="1262"/>
    <w:bookmarkStart w:name="z1057" w:id="1263"/>
    <w:p>
      <w:pPr>
        <w:spacing w:after="0"/>
        <w:ind w:left="0"/>
        <w:jc w:val="both"/>
      </w:pPr>
      <w:r>
        <w:rPr>
          <w:rFonts w:ascii="Times New Roman"/>
          <w:b w:val="false"/>
          <w:i w:val="false"/>
          <w:color w:val="000000"/>
          <w:sz w:val="28"/>
        </w:rPr>
        <w:t>
      коммуникациям с уполномоченным органом;</w:t>
      </w:r>
    </w:p>
    <w:bookmarkEnd w:id="1263"/>
    <w:bookmarkStart w:name="z1058" w:id="1264"/>
    <w:p>
      <w:pPr>
        <w:spacing w:after="0"/>
        <w:ind w:left="0"/>
        <w:jc w:val="both"/>
      </w:pPr>
      <w:r>
        <w:rPr>
          <w:rFonts w:ascii="Times New Roman"/>
          <w:b w:val="false"/>
          <w:i w:val="false"/>
          <w:color w:val="000000"/>
          <w:sz w:val="28"/>
        </w:rPr>
        <w:t>
      коммуникациям со средствами массой информации и клиентами;</w:t>
      </w:r>
    </w:p>
    <w:bookmarkEnd w:id="1264"/>
    <w:bookmarkStart w:name="z1059" w:id="1265"/>
    <w:p>
      <w:pPr>
        <w:spacing w:after="0"/>
        <w:ind w:left="0"/>
        <w:jc w:val="both"/>
      </w:pPr>
      <w:r>
        <w:rPr>
          <w:rFonts w:ascii="Times New Roman"/>
          <w:b w:val="false"/>
          <w:i w:val="false"/>
          <w:color w:val="000000"/>
          <w:sz w:val="28"/>
        </w:rPr>
        <w:t>
      коммуникациям с контрагентами и прочими заинтересованными сторонами в ходе восстановительных работ;</w:t>
      </w:r>
    </w:p>
    <w:bookmarkEnd w:id="1265"/>
    <w:bookmarkStart w:name="z1060" w:id="1266"/>
    <w:p>
      <w:pPr>
        <w:spacing w:after="0"/>
        <w:ind w:left="0"/>
        <w:jc w:val="both"/>
      </w:pPr>
      <w:r>
        <w:rPr>
          <w:rFonts w:ascii="Times New Roman"/>
          <w:b w:val="false"/>
          <w:i w:val="false"/>
          <w:color w:val="000000"/>
          <w:sz w:val="28"/>
        </w:rPr>
        <w:t>
      методам коммуникации;</w:t>
      </w:r>
    </w:p>
    <w:bookmarkEnd w:id="1266"/>
    <w:bookmarkStart w:name="z1061" w:id="1267"/>
    <w:p>
      <w:pPr>
        <w:spacing w:after="0"/>
        <w:ind w:left="0"/>
        <w:jc w:val="both"/>
      </w:pPr>
      <w:r>
        <w:rPr>
          <w:rFonts w:ascii="Times New Roman"/>
          <w:b w:val="false"/>
          <w:i w:val="false"/>
          <w:color w:val="000000"/>
          <w:sz w:val="28"/>
        </w:rPr>
        <w:t>
      8) содержит требования к минимальному объему ресурсов и поставщиков, необходимых в различные моменты времени для восстановления и аварийного предоставления критичных видов деятельности;</w:t>
      </w:r>
    </w:p>
    <w:bookmarkEnd w:id="1267"/>
    <w:bookmarkStart w:name="z1062" w:id="1268"/>
    <w:p>
      <w:pPr>
        <w:spacing w:after="0"/>
        <w:ind w:left="0"/>
        <w:jc w:val="both"/>
      </w:pPr>
      <w:r>
        <w:rPr>
          <w:rFonts w:ascii="Times New Roman"/>
          <w:b w:val="false"/>
          <w:i w:val="false"/>
          <w:color w:val="000000"/>
          <w:sz w:val="28"/>
        </w:rPr>
        <w:t>
      9) содержит последовательность действий по восстановлению и непрерывному предоставлению критичных видов деятельности, в том числе:</w:t>
      </w:r>
    </w:p>
    <w:bookmarkEnd w:id="1268"/>
    <w:bookmarkStart w:name="z1063" w:id="1269"/>
    <w:p>
      <w:pPr>
        <w:spacing w:after="0"/>
        <w:ind w:left="0"/>
        <w:jc w:val="both"/>
      </w:pPr>
      <w:r>
        <w:rPr>
          <w:rFonts w:ascii="Times New Roman"/>
          <w:b w:val="false"/>
          <w:i w:val="false"/>
          <w:color w:val="000000"/>
          <w:sz w:val="28"/>
        </w:rPr>
        <w:t>
      схему вовлечения сторонних организаций в процесс восстановления;</w:t>
      </w:r>
    </w:p>
    <w:bookmarkEnd w:id="1269"/>
    <w:bookmarkStart w:name="z1064" w:id="1270"/>
    <w:p>
      <w:pPr>
        <w:spacing w:after="0"/>
        <w:ind w:left="0"/>
        <w:jc w:val="both"/>
      </w:pPr>
      <w:r>
        <w:rPr>
          <w:rFonts w:ascii="Times New Roman"/>
          <w:b w:val="false"/>
          <w:i w:val="false"/>
          <w:color w:val="000000"/>
          <w:sz w:val="28"/>
        </w:rPr>
        <w:t>
      схему вовлечения контрагентов и заинтересованных лиц банка в процесс восстановления деятельности банка;</w:t>
      </w:r>
    </w:p>
    <w:bookmarkEnd w:id="1270"/>
    <w:bookmarkStart w:name="z1065" w:id="1271"/>
    <w:p>
      <w:pPr>
        <w:spacing w:after="0"/>
        <w:ind w:left="0"/>
        <w:jc w:val="both"/>
      </w:pPr>
      <w:r>
        <w:rPr>
          <w:rFonts w:ascii="Times New Roman"/>
          <w:b w:val="false"/>
          <w:i w:val="false"/>
          <w:color w:val="000000"/>
          <w:sz w:val="28"/>
        </w:rPr>
        <w:t>
      последовательность и места восстановления критичных видов деятельности банка;</w:t>
      </w:r>
    </w:p>
    <w:bookmarkEnd w:id="1271"/>
    <w:bookmarkStart w:name="z1066" w:id="1272"/>
    <w:p>
      <w:pPr>
        <w:spacing w:after="0"/>
        <w:ind w:left="0"/>
        <w:jc w:val="both"/>
      </w:pPr>
      <w:r>
        <w:rPr>
          <w:rFonts w:ascii="Times New Roman"/>
          <w:b w:val="false"/>
          <w:i w:val="false"/>
          <w:color w:val="000000"/>
          <w:sz w:val="28"/>
        </w:rPr>
        <w:t>
      сроки и места восстановления критичных информационно-технологических услуг, а также последовательность действий по их восстановлению, в том числе восстановление сетевой инфраструктуры в новом здании, восстановление базовой функциональности, приложений и баз данных, синхронизации, резервного копирования, телекоммуникаций;</w:t>
      </w:r>
    </w:p>
    <w:bookmarkEnd w:id="1272"/>
    <w:bookmarkStart w:name="z1067" w:id="1273"/>
    <w:p>
      <w:pPr>
        <w:spacing w:after="0"/>
        <w:ind w:left="0"/>
        <w:jc w:val="both"/>
      </w:pPr>
      <w:r>
        <w:rPr>
          <w:rFonts w:ascii="Times New Roman"/>
          <w:b w:val="false"/>
          <w:i w:val="false"/>
          <w:color w:val="000000"/>
          <w:sz w:val="28"/>
        </w:rPr>
        <w:t>
      сроки и места мобилизации необходимых ресурсов;</w:t>
      </w:r>
    </w:p>
    <w:bookmarkEnd w:id="1273"/>
    <w:bookmarkStart w:name="z1068" w:id="1274"/>
    <w:p>
      <w:pPr>
        <w:spacing w:after="0"/>
        <w:ind w:left="0"/>
        <w:jc w:val="both"/>
      </w:pPr>
      <w:r>
        <w:rPr>
          <w:rFonts w:ascii="Times New Roman"/>
          <w:b w:val="false"/>
          <w:i w:val="false"/>
          <w:color w:val="000000"/>
          <w:sz w:val="28"/>
        </w:rPr>
        <w:t>
      10) содержит всю необходимую детализацию, в том числе расположение резервных помещений, маршруты следования, контакты уполномоченного органа и иных органов власти, организаций, участвующих в восстановлении деятельности банка, а также способы связи с ними;</w:t>
      </w:r>
    </w:p>
    <w:bookmarkEnd w:id="1274"/>
    <w:bookmarkStart w:name="z1069" w:id="1275"/>
    <w:p>
      <w:pPr>
        <w:spacing w:after="0"/>
        <w:ind w:left="0"/>
        <w:jc w:val="both"/>
      </w:pPr>
      <w:r>
        <w:rPr>
          <w:rFonts w:ascii="Times New Roman"/>
          <w:b w:val="false"/>
          <w:i w:val="false"/>
          <w:color w:val="000000"/>
          <w:sz w:val="28"/>
        </w:rPr>
        <w:t>
      11) содержит метод документирования ключевой информации о ходе работ, принятых решениях и принятых мерах;</w:t>
      </w:r>
    </w:p>
    <w:bookmarkEnd w:id="1275"/>
    <w:bookmarkStart w:name="z1070" w:id="1276"/>
    <w:p>
      <w:pPr>
        <w:spacing w:after="0"/>
        <w:ind w:left="0"/>
        <w:jc w:val="both"/>
      </w:pPr>
      <w:r>
        <w:rPr>
          <w:rFonts w:ascii="Times New Roman"/>
          <w:b w:val="false"/>
          <w:i w:val="false"/>
          <w:color w:val="000000"/>
          <w:sz w:val="28"/>
        </w:rPr>
        <w:t>
      12) имеет схему:</w:t>
      </w:r>
    </w:p>
    <w:bookmarkEnd w:id="1276"/>
    <w:bookmarkStart w:name="z1071" w:id="1277"/>
    <w:p>
      <w:pPr>
        <w:spacing w:after="0"/>
        <w:ind w:left="0"/>
        <w:jc w:val="both"/>
      </w:pPr>
      <w:r>
        <w:rPr>
          <w:rFonts w:ascii="Times New Roman"/>
          <w:b w:val="false"/>
          <w:i w:val="false"/>
          <w:color w:val="000000"/>
          <w:sz w:val="28"/>
        </w:rPr>
        <w:t>
      отмены аварийного режима работы, включая критерии, позволяющие принять решение о завершении работы в аварийном режиме;</w:t>
      </w:r>
    </w:p>
    <w:bookmarkEnd w:id="1277"/>
    <w:bookmarkStart w:name="z1072" w:id="1278"/>
    <w:p>
      <w:pPr>
        <w:spacing w:after="0"/>
        <w:ind w:left="0"/>
        <w:jc w:val="both"/>
      </w:pPr>
      <w:r>
        <w:rPr>
          <w:rFonts w:ascii="Times New Roman"/>
          <w:b w:val="false"/>
          <w:i w:val="false"/>
          <w:color w:val="000000"/>
          <w:sz w:val="28"/>
        </w:rPr>
        <w:t>
      перехода к режиму повседневного функционирования;</w:t>
      </w:r>
    </w:p>
    <w:bookmarkEnd w:id="1278"/>
    <w:bookmarkStart w:name="z1073" w:id="1279"/>
    <w:p>
      <w:pPr>
        <w:spacing w:after="0"/>
        <w:ind w:left="0"/>
        <w:jc w:val="both"/>
      </w:pPr>
      <w:r>
        <w:rPr>
          <w:rFonts w:ascii="Times New Roman"/>
          <w:b w:val="false"/>
          <w:i w:val="false"/>
          <w:color w:val="000000"/>
          <w:sz w:val="28"/>
        </w:rPr>
        <w:t>
      восстановления нарушенных внутренних банковских процессов после ликвидации последствий непредвиденных обстоятельств;</w:t>
      </w:r>
    </w:p>
    <w:bookmarkEnd w:id="1279"/>
    <w:bookmarkStart w:name="z1074" w:id="1280"/>
    <w:p>
      <w:pPr>
        <w:spacing w:after="0"/>
        <w:ind w:left="0"/>
        <w:jc w:val="both"/>
      </w:pPr>
      <w:r>
        <w:rPr>
          <w:rFonts w:ascii="Times New Roman"/>
          <w:b w:val="false"/>
          <w:i w:val="false"/>
          <w:color w:val="000000"/>
          <w:sz w:val="28"/>
        </w:rPr>
        <w:t>
      13) имеет единственного владельца плана, ответственного за поддержание и пересмотр.</w:t>
      </w:r>
    </w:p>
    <w:bookmarkEnd w:id="1280"/>
    <w:bookmarkStart w:name="z1075" w:id="1281"/>
    <w:p>
      <w:pPr>
        <w:spacing w:after="0"/>
        <w:ind w:left="0"/>
        <w:jc w:val="both"/>
      </w:pPr>
      <w:r>
        <w:rPr>
          <w:rFonts w:ascii="Times New Roman"/>
          <w:b w:val="false"/>
          <w:i w:val="false"/>
          <w:color w:val="000000"/>
          <w:sz w:val="28"/>
        </w:rPr>
        <w:t>
      69. Банк тестирует план (планы) по обеспечению непрерывности и (или) восстановлению деятельности, в целях определения того, что:</w:t>
      </w:r>
    </w:p>
    <w:bookmarkEnd w:id="1281"/>
    <w:bookmarkStart w:name="z1076" w:id="1282"/>
    <w:p>
      <w:pPr>
        <w:spacing w:after="0"/>
        <w:ind w:left="0"/>
        <w:jc w:val="both"/>
      </w:pPr>
      <w:r>
        <w:rPr>
          <w:rFonts w:ascii="Times New Roman"/>
          <w:b w:val="false"/>
          <w:i w:val="false"/>
          <w:color w:val="000000"/>
          <w:sz w:val="28"/>
        </w:rPr>
        <w:t>
      1) критичные виды деятельности защищены вне зависимости от серьезности критичного события;</w:t>
      </w:r>
    </w:p>
    <w:bookmarkEnd w:id="1282"/>
    <w:bookmarkStart w:name="z1077" w:id="1283"/>
    <w:p>
      <w:pPr>
        <w:spacing w:after="0"/>
        <w:ind w:left="0"/>
        <w:jc w:val="both"/>
      </w:pPr>
      <w:r>
        <w:rPr>
          <w:rFonts w:ascii="Times New Roman"/>
          <w:b w:val="false"/>
          <w:i w:val="false"/>
          <w:color w:val="000000"/>
          <w:sz w:val="28"/>
        </w:rPr>
        <w:t>
      2) данные планы обеспечивают деятельность банка в условиях непредвиденных обстоятельств и переход в режим повседневного функционирования.</w:t>
      </w:r>
    </w:p>
    <w:bookmarkEnd w:id="1283"/>
    <w:bookmarkStart w:name="z1078" w:id="1284"/>
    <w:p>
      <w:pPr>
        <w:spacing w:after="0"/>
        <w:ind w:left="0"/>
        <w:jc w:val="both"/>
      </w:pPr>
      <w:r>
        <w:rPr>
          <w:rFonts w:ascii="Times New Roman"/>
          <w:b w:val="false"/>
          <w:i w:val="false"/>
          <w:color w:val="000000"/>
          <w:sz w:val="28"/>
        </w:rPr>
        <w:t>
      70. Банк:</w:t>
      </w:r>
    </w:p>
    <w:bookmarkEnd w:id="1284"/>
    <w:bookmarkStart w:name="z1079" w:id="1285"/>
    <w:p>
      <w:pPr>
        <w:spacing w:after="0"/>
        <w:ind w:left="0"/>
        <w:jc w:val="both"/>
      </w:pPr>
      <w:r>
        <w:rPr>
          <w:rFonts w:ascii="Times New Roman"/>
          <w:b w:val="false"/>
          <w:i w:val="false"/>
          <w:color w:val="000000"/>
          <w:sz w:val="28"/>
        </w:rPr>
        <w:t>
      1) осуществляет тестирование и в случае значительных изменений в деятельности банка;</w:t>
      </w:r>
    </w:p>
    <w:bookmarkEnd w:id="1285"/>
    <w:bookmarkStart w:name="z1080" w:id="1286"/>
    <w:p>
      <w:pPr>
        <w:spacing w:after="0"/>
        <w:ind w:left="0"/>
        <w:jc w:val="both"/>
      </w:pPr>
      <w:r>
        <w:rPr>
          <w:rFonts w:ascii="Times New Roman"/>
          <w:b w:val="false"/>
          <w:i w:val="false"/>
          <w:color w:val="000000"/>
          <w:sz w:val="28"/>
        </w:rPr>
        <w:t>
      2) осуществляет тестирование, как отдельных элементов системы управления непрерывностью деятельности, так и в совокупности, в целях проверки надежности системы в целом;</w:t>
      </w:r>
    </w:p>
    <w:bookmarkEnd w:id="1286"/>
    <w:bookmarkStart w:name="z1081" w:id="1287"/>
    <w:p>
      <w:pPr>
        <w:spacing w:after="0"/>
        <w:ind w:left="0"/>
        <w:jc w:val="both"/>
      </w:pPr>
      <w:r>
        <w:rPr>
          <w:rFonts w:ascii="Times New Roman"/>
          <w:b w:val="false"/>
          <w:i w:val="false"/>
          <w:color w:val="000000"/>
          <w:sz w:val="28"/>
        </w:rPr>
        <w:t>
      3) осуществляет планирование тестирования таким образом, чтобы минимизировать влияние критичных событий, которые возникают в ходе проведения испытаний;</w:t>
      </w:r>
    </w:p>
    <w:bookmarkEnd w:id="1287"/>
    <w:bookmarkStart w:name="z1082" w:id="1288"/>
    <w:p>
      <w:pPr>
        <w:spacing w:after="0"/>
        <w:ind w:left="0"/>
        <w:jc w:val="both"/>
      </w:pPr>
      <w:r>
        <w:rPr>
          <w:rFonts w:ascii="Times New Roman"/>
          <w:b w:val="false"/>
          <w:i w:val="false"/>
          <w:color w:val="000000"/>
          <w:sz w:val="28"/>
        </w:rPr>
        <w:t>
      4) определяет цели и задачи каждого тестирования;</w:t>
      </w:r>
    </w:p>
    <w:bookmarkEnd w:id="1288"/>
    <w:bookmarkStart w:name="z1083" w:id="1289"/>
    <w:p>
      <w:pPr>
        <w:spacing w:after="0"/>
        <w:ind w:left="0"/>
        <w:jc w:val="both"/>
      </w:pPr>
      <w:r>
        <w:rPr>
          <w:rFonts w:ascii="Times New Roman"/>
          <w:b w:val="false"/>
          <w:i w:val="false"/>
          <w:color w:val="000000"/>
          <w:sz w:val="28"/>
        </w:rPr>
        <w:t>
      5) определяет группу наблюдателей (контролеров тестирования) из числа работников банка, ответственных за разработку плана (планов) по обеспечению непрерывности и (или) восстановлению деятельности, работников, осуществляющих внутренний контроль, и в случае необходимости, независимых специалистов из организаций, специализирующихся на оказании консультационных услуг в сфере обеспечения непрерывности деятельности и информационной безопасности банка. Группа наблюдателей (контролеров тестирования) осуществляет:</w:t>
      </w:r>
    </w:p>
    <w:bookmarkEnd w:id="1289"/>
    <w:bookmarkStart w:name="z1084" w:id="1290"/>
    <w:p>
      <w:pPr>
        <w:spacing w:after="0"/>
        <w:ind w:left="0"/>
        <w:jc w:val="both"/>
      </w:pPr>
      <w:r>
        <w:rPr>
          <w:rFonts w:ascii="Times New Roman"/>
          <w:b w:val="false"/>
          <w:i w:val="false"/>
          <w:color w:val="000000"/>
          <w:sz w:val="28"/>
        </w:rPr>
        <w:t>
      контроль выполнения каждого теста;</w:t>
      </w:r>
    </w:p>
    <w:bookmarkEnd w:id="1290"/>
    <w:bookmarkStart w:name="z1085" w:id="1291"/>
    <w:p>
      <w:pPr>
        <w:spacing w:after="0"/>
        <w:ind w:left="0"/>
        <w:jc w:val="both"/>
      </w:pPr>
      <w:r>
        <w:rPr>
          <w:rFonts w:ascii="Times New Roman"/>
          <w:b w:val="false"/>
          <w:i w:val="false"/>
          <w:color w:val="000000"/>
          <w:sz w:val="28"/>
        </w:rPr>
        <w:t>
      оценку результатов тестирования;</w:t>
      </w:r>
    </w:p>
    <w:bookmarkEnd w:id="1291"/>
    <w:bookmarkStart w:name="z1086" w:id="1292"/>
    <w:p>
      <w:pPr>
        <w:spacing w:after="0"/>
        <w:ind w:left="0"/>
        <w:jc w:val="both"/>
      </w:pPr>
      <w:r>
        <w:rPr>
          <w:rFonts w:ascii="Times New Roman"/>
          <w:b w:val="false"/>
          <w:i w:val="false"/>
          <w:color w:val="000000"/>
          <w:sz w:val="28"/>
        </w:rPr>
        <w:t>
      составление протокола о проведении тестов, его результатах и отзывах, включая необходимые корректирующие действия;</w:t>
      </w:r>
    </w:p>
    <w:bookmarkEnd w:id="1292"/>
    <w:bookmarkStart w:name="z1087" w:id="1293"/>
    <w:p>
      <w:pPr>
        <w:spacing w:after="0"/>
        <w:ind w:left="0"/>
        <w:jc w:val="both"/>
      </w:pPr>
      <w:r>
        <w:rPr>
          <w:rFonts w:ascii="Times New Roman"/>
          <w:b w:val="false"/>
          <w:i w:val="false"/>
          <w:color w:val="000000"/>
          <w:sz w:val="28"/>
        </w:rPr>
        <w:t>
      согласование протокола с руководителями подразделений банка, задействованных в тестировании плана (планов) по обеспечению непрерывности и (или) восстановлению деятельности;</w:t>
      </w:r>
    </w:p>
    <w:bookmarkEnd w:id="1293"/>
    <w:bookmarkStart w:name="z1088" w:id="1294"/>
    <w:p>
      <w:pPr>
        <w:spacing w:after="0"/>
        <w:ind w:left="0"/>
        <w:jc w:val="both"/>
      </w:pPr>
      <w:r>
        <w:rPr>
          <w:rFonts w:ascii="Times New Roman"/>
          <w:b w:val="false"/>
          <w:i w:val="false"/>
          <w:color w:val="000000"/>
          <w:sz w:val="28"/>
        </w:rPr>
        <w:t>
      6) составляет и согласовывает отчет по итогам проведения тестирования на основании согласованного протокола проверки, который в том числе включает анализ результатов тестирования, предложения по устранению выявленных недостатков и совершенствованию планов и других элементов системы управления непрерывностью деятельности банка.</w:t>
      </w:r>
    </w:p>
    <w:bookmarkEnd w:id="1294"/>
    <w:bookmarkStart w:name="z1089" w:id="1295"/>
    <w:p>
      <w:pPr>
        <w:spacing w:after="0"/>
        <w:ind w:left="0"/>
        <w:jc w:val="both"/>
      </w:pPr>
      <w:r>
        <w:rPr>
          <w:rFonts w:ascii="Times New Roman"/>
          <w:b w:val="false"/>
          <w:i w:val="false"/>
          <w:color w:val="000000"/>
          <w:sz w:val="28"/>
        </w:rPr>
        <w:t>
      Отчет по итогам проведения тестирования с предложениями при необходимости по совершенствованию плана (планов) по обеспечению непрерывности и (или) восстановлению деятельности направляется комитету по вопросам управления рисками для рассмотрения и совету директоров банка – для утверждения.</w:t>
      </w:r>
    </w:p>
    <w:bookmarkEnd w:id="1295"/>
    <w:bookmarkStart w:name="z1090" w:id="1296"/>
    <w:p>
      <w:pPr>
        <w:spacing w:after="0"/>
        <w:ind w:left="0"/>
        <w:jc w:val="both"/>
      </w:pPr>
      <w:r>
        <w:rPr>
          <w:rFonts w:ascii="Times New Roman"/>
          <w:b w:val="false"/>
          <w:i w:val="false"/>
          <w:color w:val="000000"/>
          <w:sz w:val="28"/>
        </w:rPr>
        <w:t>
      71. Совет директоров банка обеспечивает наличие системы управленческой информации, включающей, но не ограничивающейся информацией о статусе внедрения процедур и процессов по управлению непрерывностью деятельности, выявленных фактах нарушений внутренних процедур и политик, происшествиях, результатах проверок и планов по повышению устойчивости банка и способности восстанавливать определенные операции.</w:t>
      </w:r>
    </w:p>
    <w:bookmarkEnd w:id="1296"/>
    <w:bookmarkStart w:name="z1091" w:id="1297"/>
    <w:p>
      <w:pPr>
        <w:spacing w:after="0"/>
        <w:ind w:left="0"/>
        <w:jc w:val="left"/>
      </w:pPr>
      <w:r>
        <w:rPr>
          <w:rFonts w:ascii="Times New Roman"/>
          <w:b/>
          <w:i w:val="false"/>
          <w:color w:val="000000"/>
        </w:rPr>
        <w:t xml:space="preserve"> Глава 8. Управление рисками информационных технологий</w:t>
      </w:r>
    </w:p>
    <w:bookmarkEnd w:id="1297"/>
    <w:bookmarkStart w:name="z1092" w:id="1298"/>
    <w:p>
      <w:pPr>
        <w:spacing w:after="0"/>
        <w:ind w:left="0"/>
        <w:jc w:val="both"/>
      </w:pPr>
      <w:r>
        <w:rPr>
          <w:rFonts w:ascii="Times New Roman"/>
          <w:b w:val="false"/>
          <w:i w:val="false"/>
          <w:color w:val="000000"/>
          <w:sz w:val="28"/>
        </w:rPr>
        <w:t>
      72. Совет директоров банка обеспечивает наличие системы управления рисками информационных технологий, которая соответствует внешней операционной среде, стратегии, организационной структуре, объему активов, характеру и уровню сложности операций банка и обеспечивает минимизацию рисков информационных технологий.</w:t>
      </w:r>
    </w:p>
    <w:bookmarkEnd w:id="1298"/>
    <w:bookmarkStart w:name="z1093" w:id="1299"/>
    <w:p>
      <w:pPr>
        <w:spacing w:after="0"/>
        <w:ind w:left="0"/>
        <w:jc w:val="both"/>
      </w:pPr>
      <w:r>
        <w:rPr>
          <w:rFonts w:ascii="Times New Roman"/>
          <w:b w:val="false"/>
          <w:i w:val="false"/>
          <w:color w:val="000000"/>
          <w:sz w:val="28"/>
        </w:rPr>
        <w:t>
      73. Система управления рисками информационных технологий включает, но, не ограничиваясь, следующее:</w:t>
      </w:r>
    </w:p>
    <w:bookmarkEnd w:id="1299"/>
    <w:bookmarkStart w:name="z1094" w:id="1300"/>
    <w:p>
      <w:pPr>
        <w:spacing w:after="0"/>
        <w:ind w:left="0"/>
        <w:jc w:val="both"/>
      </w:pPr>
      <w:r>
        <w:rPr>
          <w:rFonts w:ascii="Times New Roman"/>
          <w:b w:val="false"/>
          <w:i w:val="false"/>
          <w:color w:val="000000"/>
          <w:sz w:val="28"/>
        </w:rPr>
        <w:t>
      1) политику управления рисками информационных технологий;</w:t>
      </w:r>
    </w:p>
    <w:bookmarkEnd w:id="1300"/>
    <w:bookmarkStart w:name="z1095" w:id="1301"/>
    <w:p>
      <w:pPr>
        <w:spacing w:after="0"/>
        <w:ind w:left="0"/>
        <w:jc w:val="both"/>
      </w:pPr>
      <w:r>
        <w:rPr>
          <w:rFonts w:ascii="Times New Roman"/>
          <w:b w:val="false"/>
          <w:i w:val="false"/>
          <w:color w:val="000000"/>
          <w:sz w:val="28"/>
        </w:rPr>
        <w:t>
      2) процедуры управления рисками информационных технологий;</w:t>
      </w:r>
    </w:p>
    <w:bookmarkEnd w:id="1301"/>
    <w:bookmarkStart w:name="z1096" w:id="1302"/>
    <w:p>
      <w:pPr>
        <w:spacing w:after="0"/>
        <w:ind w:left="0"/>
        <w:jc w:val="both"/>
      </w:pPr>
      <w:r>
        <w:rPr>
          <w:rFonts w:ascii="Times New Roman"/>
          <w:b w:val="false"/>
          <w:i w:val="false"/>
          <w:color w:val="000000"/>
          <w:sz w:val="28"/>
        </w:rPr>
        <w:t>
      3) систему управленческой информации;</w:t>
      </w:r>
    </w:p>
    <w:bookmarkEnd w:id="1302"/>
    <w:bookmarkStart w:name="z1097" w:id="1303"/>
    <w:p>
      <w:pPr>
        <w:spacing w:after="0"/>
        <w:ind w:left="0"/>
        <w:jc w:val="both"/>
      </w:pPr>
      <w:r>
        <w:rPr>
          <w:rFonts w:ascii="Times New Roman"/>
          <w:b w:val="false"/>
          <w:i w:val="false"/>
          <w:color w:val="000000"/>
          <w:sz w:val="28"/>
        </w:rPr>
        <w:t>
      4) оценку эффективности системы управления рисками информационных технологий подразделением внутреннего аудита.</w:t>
      </w:r>
    </w:p>
    <w:bookmarkEnd w:id="1303"/>
    <w:bookmarkStart w:name="z1098" w:id="1304"/>
    <w:p>
      <w:pPr>
        <w:spacing w:after="0"/>
        <w:ind w:left="0"/>
        <w:jc w:val="both"/>
      </w:pPr>
      <w:r>
        <w:rPr>
          <w:rFonts w:ascii="Times New Roman"/>
          <w:b w:val="false"/>
          <w:i w:val="false"/>
          <w:color w:val="000000"/>
          <w:sz w:val="28"/>
        </w:rPr>
        <w:t>
      74. Банк определяет следующих участников системы управления рисками информационных технологий (но, не ограничиваясь ими):</w:t>
      </w:r>
    </w:p>
    <w:bookmarkEnd w:id="1304"/>
    <w:bookmarkStart w:name="z1099" w:id="1305"/>
    <w:p>
      <w:pPr>
        <w:spacing w:after="0"/>
        <w:ind w:left="0"/>
        <w:jc w:val="both"/>
      </w:pPr>
      <w:r>
        <w:rPr>
          <w:rFonts w:ascii="Times New Roman"/>
          <w:b w:val="false"/>
          <w:i w:val="false"/>
          <w:color w:val="000000"/>
          <w:sz w:val="28"/>
        </w:rPr>
        <w:t>
      1) подразделение по управлению рисками банка;</w:t>
      </w:r>
    </w:p>
    <w:bookmarkEnd w:id="1305"/>
    <w:bookmarkStart w:name="z1100" w:id="1306"/>
    <w:p>
      <w:pPr>
        <w:spacing w:after="0"/>
        <w:ind w:left="0"/>
        <w:jc w:val="both"/>
      </w:pPr>
      <w:r>
        <w:rPr>
          <w:rFonts w:ascii="Times New Roman"/>
          <w:b w:val="false"/>
          <w:i w:val="false"/>
          <w:color w:val="000000"/>
          <w:sz w:val="28"/>
        </w:rPr>
        <w:t>
      2) подразделение по информационным технологиям.</w:t>
      </w:r>
    </w:p>
    <w:bookmarkEnd w:id="1306"/>
    <w:bookmarkStart w:name="z1101" w:id="1307"/>
    <w:p>
      <w:pPr>
        <w:spacing w:after="0"/>
        <w:ind w:left="0"/>
        <w:jc w:val="both"/>
      </w:pPr>
      <w:r>
        <w:rPr>
          <w:rFonts w:ascii="Times New Roman"/>
          <w:b w:val="false"/>
          <w:i w:val="false"/>
          <w:color w:val="000000"/>
          <w:sz w:val="28"/>
        </w:rPr>
        <w:t>
      75. Банк создает структурное подразделение по управлению рисками, в функции которого входит управление рисками информационных технологий, включая:</w:t>
      </w:r>
    </w:p>
    <w:bookmarkEnd w:id="1307"/>
    <w:bookmarkStart w:name="z1102" w:id="1308"/>
    <w:p>
      <w:pPr>
        <w:spacing w:after="0"/>
        <w:ind w:left="0"/>
        <w:jc w:val="both"/>
      </w:pPr>
      <w:r>
        <w:rPr>
          <w:rFonts w:ascii="Times New Roman"/>
          <w:b w:val="false"/>
          <w:i w:val="false"/>
          <w:color w:val="000000"/>
          <w:sz w:val="28"/>
        </w:rPr>
        <w:t>
      1) разработка, внедрение и развитие системы управления рисками информационных технологий;</w:t>
      </w:r>
    </w:p>
    <w:bookmarkEnd w:id="1308"/>
    <w:bookmarkStart w:name="z1103" w:id="1309"/>
    <w:p>
      <w:pPr>
        <w:spacing w:after="0"/>
        <w:ind w:left="0"/>
        <w:jc w:val="both"/>
      </w:pPr>
      <w:r>
        <w:rPr>
          <w:rFonts w:ascii="Times New Roman"/>
          <w:b w:val="false"/>
          <w:i w:val="false"/>
          <w:color w:val="000000"/>
          <w:sz w:val="28"/>
        </w:rPr>
        <w:t>
      2) участие в разработке и согласовании планов мероприятий по реализации стратегии банка в части обеспечения доступности информационно-коммуникационных технологий;</w:t>
      </w:r>
    </w:p>
    <w:bookmarkEnd w:id="1309"/>
    <w:bookmarkStart w:name="z1104" w:id="1310"/>
    <w:p>
      <w:pPr>
        <w:spacing w:after="0"/>
        <w:ind w:left="0"/>
        <w:jc w:val="both"/>
      </w:pPr>
      <w:r>
        <w:rPr>
          <w:rFonts w:ascii="Times New Roman"/>
          <w:b w:val="false"/>
          <w:i w:val="false"/>
          <w:color w:val="000000"/>
          <w:sz w:val="28"/>
        </w:rPr>
        <w:t>
      3) участие в оценке рисков информационных технологий;</w:t>
      </w:r>
    </w:p>
    <w:bookmarkEnd w:id="1310"/>
    <w:bookmarkStart w:name="z1105" w:id="1311"/>
    <w:p>
      <w:pPr>
        <w:spacing w:after="0"/>
        <w:ind w:left="0"/>
        <w:jc w:val="both"/>
      </w:pPr>
      <w:r>
        <w:rPr>
          <w:rFonts w:ascii="Times New Roman"/>
          <w:b w:val="false"/>
          <w:i w:val="false"/>
          <w:color w:val="000000"/>
          <w:sz w:val="28"/>
        </w:rPr>
        <w:t>
      4) мониторинг уровня рисков информационных технологий;</w:t>
      </w:r>
    </w:p>
    <w:bookmarkEnd w:id="1311"/>
    <w:bookmarkStart w:name="z1106" w:id="1312"/>
    <w:p>
      <w:pPr>
        <w:spacing w:after="0"/>
        <w:ind w:left="0"/>
        <w:jc w:val="both"/>
      </w:pPr>
      <w:r>
        <w:rPr>
          <w:rFonts w:ascii="Times New Roman"/>
          <w:b w:val="false"/>
          <w:i w:val="false"/>
          <w:color w:val="000000"/>
          <w:sz w:val="28"/>
        </w:rPr>
        <w:t>
      5) взаимодействие и консультирование структурных подразделений банка по вопросам управления рисками информационных технологий;</w:t>
      </w:r>
    </w:p>
    <w:bookmarkEnd w:id="1312"/>
    <w:bookmarkStart w:name="z1107" w:id="1313"/>
    <w:p>
      <w:pPr>
        <w:spacing w:after="0"/>
        <w:ind w:left="0"/>
        <w:jc w:val="both"/>
      </w:pPr>
      <w:r>
        <w:rPr>
          <w:rFonts w:ascii="Times New Roman"/>
          <w:b w:val="false"/>
          <w:i w:val="false"/>
          <w:color w:val="000000"/>
          <w:sz w:val="28"/>
        </w:rPr>
        <w:t>
      6) планирование проведения и анализ результатов оценки рисков информационных технологий, проводимой подразделением информационных технологий;</w:t>
      </w:r>
    </w:p>
    <w:bookmarkEnd w:id="1313"/>
    <w:bookmarkStart w:name="z1108" w:id="1314"/>
    <w:p>
      <w:pPr>
        <w:spacing w:after="0"/>
        <w:ind w:left="0"/>
        <w:jc w:val="both"/>
      </w:pPr>
      <w:r>
        <w:rPr>
          <w:rFonts w:ascii="Times New Roman"/>
          <w:b w:val="false"/>
          <w:i w:val="false"/>
          <w:color w:val="000000"/>
          <w:sz w:val="28"/>
        </w:rPr>
        <w:t>
      7) разработка и формирование реестра рисков, включающего риски информационных технологий;</w:t>
      </w:r>
    </w:p>
    <w:bookmarkEnd w:id="1314"/>
    <w:bookmarkStart w:name="z1109" w:id="1315"/>
    <w:p>
      <w:pPr>
        <w:spacing w:after="0"/>
        <w:ind w:left="0"/>
        <w:jc w:val="both"/>
      </w:pPr>
      <w:r>
        <w:rPr>
          <w:rFonts w:ascii="Times New Roman"/>
          <w:b w:val="false"/>
          <w:i w:val="false"/>
          <w:color w:val="000000"/>
          <w:sz w:val="28"/>
        </w:rPr>
        <w:t>
      8) предоставление отчетности о реализации существенных рисков информационных технологий и мониторинг исполнения мероприятий по устранению их последствий комитету по управлению рисками;</w:t>
      </w:r>
    </w:p>
    <w:bookmarkEnd w:id="1315"/>
    <w:bookmarkStart w:name="z1110" w:id="1316"/>
    <w:p>
      <w:pPr>
        <w:spacing w:after="0"/>
        <w:ind w:left="0"/>
        <w:jc w:val="both"/>
      </w:pPr>
      <w:r>
        <w:rPr>
          <w:rFonts w:ascii="Times New Roman"/>
          <w:b w:val="false"/>
          <w:i w:val="false"/>
          <w:color w:val="000000"/>
          <w:sz w:val="28"/>
        </w:rPr>
        <w:t>
      9) предоставление отчетности или иной информации по управлению рисками информационных технологий совету директоров;</w:t>
      </w:r>
    </w:p>
    <w:bookmarkEnd w:id="1316"/>
    <w:bookmarkStart w:name="z1111" w:id="1317"/>
    <w:p>
      <w:pPr>
        <w:spacing w:after="0"/>
        <w:ind w:left="0"/>
        <w:jc w:val="both"/>
      </w:pPr>
      <w:r>
        <w:rPr>
          <w:rFonts w:ascii="Times New Roman"/>
          <w:b w:val="false"/>
          <w:i w:val="false"/>
          <w:color w:val="000000"/>
          <w:sz w:val="28"/>
        </w:rPr>
        <w:t>
      10) использование результатов внутреннего аудита в части рисков информационных технологий.</w:t>
      </w:r>
    </w:p>
    <w:bookmarkEnd w:id="1317"/>
    <w:bookmarkStart w:name="z1112" w:id="1318"/>
    <w:p>
      <w:pPr>
        <w:spacing w:after="0"/>
        <w:ind w:left="0"/>
        <w:jc w:val="both"/>
      </w:pPr>
      <w:r>
        <w:rPr>
          <w:rFonts w:ascii="Times New Roman"/>
          <w:b w:val="false"/>
          <w:i w:val="false"/>
          <w:color w:val="000000"/>
          <w:sz w:val="28"/>
        </w:rPr>
        <w:t>
      76. Банк создает структурное подразделение по информационным технологиям, в функции которого входит:</w:t>
      </w:r>
    </w:p>
    <w:bookmarkEnd w:id="1318"/>
    <w:bookmarkStart w:name="z1113" w:id="1319"/>
    <w:p>
      <w:pPr>
        <w:spacing w:after="0"/>
        <w:ind w:left="0"/>
        <w:jc w:val="both"/>
      </w:pPr>
      <w:r>
        <w:rPr>
          <w:rFonts w:ascii="Times New Roman"/>
          <w:b w:val="false"/>
          <w:i w:val="false"/>
          <w:color w:val="000000"/>
          <w:sz w:val="28"/>
        </w:rPr>
        <w:t>
      1) проведение оценки рисков информационных технологий;</w:t>
      </w:r>
    </w:p>
    <w:bookmarkEnd w:id="1319"/>
    <w:bookmarkStart w:name="z1114" w:id="1320"/>
    <w:p>
      <w:pPr>
        <w:spacing w:after="0"/>
        <w:ind w:left="0"/>
        <w:jc w:val="both"/>
      </w:pPr>
      <w:r>
        <w:rPr>
          <w:rFonts w:ascii="Times New Roman"/>
          <w:b w:val="false"/>
          <w:i w:val="false"/>
          <w:color w:val="000000"/>
          <w:sz w:val="28"/>
        </w:rPr>
        <w:t>
      2) разработка мер по обработке рисков информационных технологий и предоставление отчетности по их реализации в подразделение по управлению рисками;</w:t>
      </w:r>
    </w:p>
    <w:bookmarkEnd w:id="1320"/>
    <w:bookmarkStart w:name="z1115" w:id="1321"/>
    <w:p>
      <w:pPr>
        <w:spacing w:after="0"/>
        <w:ind w:left="0"/>
        <w:jc w:val="both"/>
      </w:pPr>
      <w:r>
        <w:rPr>
          <w:rFonts w:ascii="Times New Roman"/>
          <w:b w:val="false"/>
          <w:i w:val="false"/>
          <w:color w:val="000000"/>
          <w:sz w:val="28"/>
        </w:rPr>
        <w:t>
      3) подготовка и предоставление отчетности о реализации существенных рисков информационных технологий в подразделение рисков банка, а также об устранении их последствий;</w:t>
      </w:r>
    </w:p>
    <w:bookmarkEnd w:id="1321"/>
    <w:bookmarkStart w:name="z1116" w:id="1322"/>
    <w:p>
      <w:pPr>
        <w:spacing w:after="0"/>
        <w:ind w:left="0"/>
        <w:jc w:val="both"/>
      </w:pPr>
      <w:r>
        <w:rPr>
          <w:rFonts w:ascii="Times New Roman"/>
          <w:b w:val="false"/>
          <w:i w:val="false"/>
          <w:color w:val="000000"/>
          <w:sz w:val="28"/>
        </w:rPr>
        <w:t>
      4) разработка планов мероприятий по реализации стратегии банка в части обеспечения доступности информационно-коммуникационных технологий для критичных бизнес-процессов.</w:t>
      </w:r>
    </w:p>
    <w:bookmarkEnd w:id="1322"/>
    <w:bookmarkStart w:name="z1117" w:id="1323"/>
    <w:p>
      <w:pPr>
        <w:spacing w:after="0"/>
        <w:ind w:left="0"/>
        <w:jc w:val="both"/>
      </w:pPr>
      <w:r>
        <w:rPr>
          <w:rFonts w:ascii="Times New Roman"/>
          <w:b w:val="false"/>
          <w:i w:val="false"/>
          <w:color w:val="000000"/>
          <w:sz w:val="28"/>
        </w:rPr>
        <w:t>
      Банк обеспечивает независимость структурного подразделения по управлению рисками от структурного подразделения по информационным технологиям.</w:t>
      </w:r>
    </w:p>
    <w:bookmarkEnd w:id="1323"/>
    <w:bookmarkStart w:name="z1118" w:id="1324"/>
    <w:p>
      <w:pPr>
        <w:spacing w:after="0"/>
        <w:ind w:left="0"/>
        <w:jc w:val="both"/>
      </w:pPr>
      <w:r>
        <w:rPr>
          <w:rFonts w:ascii="Times New Roman"/>
          <w:b w:val="false"/>
          <w:i w:val="false"/>
          <w:color w:val="000000"/>
          <w:sz w:val="28"/>
        </w:rPr>
        <w:t>
      77. Подразделение по управлению рисками разрабатывает внутренний документ, определяющий порядок управления рисками информационных технологий, который включает, но, не ограничиваясь, следующее:</w:t>
      </w:r>
    </w:p>
    <w:bookmarkEnd w:id="1324"/>
    <w:bookmarkStart w:name="z1119" w:id="1325"/>
    <w:p>
      <w:pPr>
        <w:spacing w:after="0"/>
        <w:ind w:left="0"/>
        <w:jc w:val="both"/>
      </w:pPr>
      <w:r>
        <w:rPr>
          <w:rFonts w:ascii="Times New Roman"/>
          <w:b w:val="false"/>
          <w:i w:val="false"/>
          <w:color w:val="000000"/>
          <w:sz w:val="28"/>
        </w:rPr>
        <w:t>
      1) процедуры идентификации рисков информационных технологий;</w:t>
      </w:r>
    </w:p>
    <w:bookmarkEnd w:id="1325"/>
    <w:bookmarkStart w:name="z1120" w:id="1326"/>
    <w:p>
      <w:pPr>
        <w:spacing w:after="0"/>
        <w:ind w:left="0"/>
        <w:jc w:val="both"/>
      </w:pPr>
      <w:r>
        <w:rPr>
          <w:rFonts w:ascii="Times New Roman"/>
          <w:b w:val="false"/>
          <w:i w:val="false"/>
          <w:color w:val="000000"/>
          <w:sz w:val="28"/>
        </w:rPr>
        <w:t>
      2) процедуры определения внутренних и (или) внешних факторов, влияющих на реализацию каждого из рисков информационных технологий;</w:t>
      </w:r>
    </w:p>
    <w:bookmarkEnd w:id="1326"/>
    <w:bookmarkStart w:name="z1121" w:id="1327"/>
    <w:p>
      <w:pPr>
        <w:spacing w:after="0"/>
        <w:ind w:left="0"/>
        <w:jc w:val="both"/>
      </w:pPr>
      <w:r>
        <w:rPr>
          <w:rFonts w:ascii="Times New Roman"/>
          <w:b w:val="false"/>
          <w:i w:val="false"/>
          <w:color w:val="000000"/>
          <w:sz w:val="28"/>
        </w:rPr>
        <w:t>
      3) процедуры оценки вероятности и последствий всех выявленных рисков информационных технологий, применяя качественные и (или) количественные методы оценки, в том числе на основании данных об их реализации;</w:t>
      </w:r>
    </w:p>
    <w:bookmarkEnd w:id="1327"/>
    <w:bookmarkStart w:name="z1122" w:id="1328"/>
    <w:p>
      <w:pPr>
        <w:spacing w:after="0"/>
        <w:ind w:left="0"/>
        <w:jc w:val="both"/>
      </w:pPr>
      <w:r>
        <w:rPr>
          <w:rFonts w:ascii="Times New Roman"/>
          <w:b w:val="false"/>
          <w:i w:val="false"/>
          <w:color w:val="000000"/>
          <w:sz w:val="28"/>
        </w:rPr>
        <w:t>
      4) процедуры сбора и хранения сведений о реализации существенных рисков информационных технологий;</w:t>
      </w:r>
    </w:p>
    <w:bookmarkEnd w:id="1328"/>
    <w:bookmarkStart w:name="z1123" w:id="1329"/>
    <w:p>
      <w:pPr>
        <w:spacing w:after="0"/>
        <w:ind w:left="0"/>
        <w:jc w:val="both"/>
      </w:pPr>
      <w:r>
        <w:rPr>
          <w:rFonts w:ascii="Times New Roman"/>
          <w:b w:val="false"/>
          <w:i w:val="false"/>
          <w:color w:val="000000"/>
          <w:sz w:val="28"/>
        </w:rPr>
        <w:t>
      5) процедуры формирования реестра рисков, включающего риски информационных технологий;</w:t>
      </w:r>
    </w:p>
    <w:bookmarkEnd w:id="1329"/>
    <w:bookmarkStart w:name="z1124" w:id="1330"/>
    <w:p>
      <w:pPr>
        <w:spacing w:after="0"/>
        <w:ind w:left="0"/>
        <w:jc w:val="both"/>
      </w:pPr>
      <w:r>
        <w:rPr>
          <w:rFonts w:ascii="Times New Roman"/>
          <w:b w:val="false"/>
          <w:i w:val="false"/>
          <w:color w:val="000000"/>
          <w:sz w:val="28"/>
        </w:rPr>
        <w:t>
      6) процедуры разработки мер обработки рисков информационных технологий;</w:t>
      </w:r>
    </w:p>
    <w:bookmarkEnd w:id="1330"/>
    <w:bookmarkStart w:name="z1125" w:id="1331"/>
    <w:p>
      <w:pPr>
        <w:spacing w:after="0"/>
        <w:ind w:left="0"/>
        <w:jc w:val="both"/>
      </w:pPr>
      <w:r>
        <w:rPr>
          <w:rFonts w:ascii="Times New Roman"/>
          <w:b w:val="false"/>
          <w:i w:val="false"/>
          <w:color w:val="000000"/>
          <w:sz w:val="28"/>
        </w:rPr>
        <w:t>
      7) процедуры мониторинга исполнения мер по обработке рисков информационных технологий.</w:t>
      </w:r>
    </w:p>
    <w:bookmarkEnd w:id="1331"/>
    <w:bookmarkStart w:name="z1126" w:id="1332"/>
    <w:p>
      <w:pPr>
        <w:spacing w:after="0"/>
        <w:ind w:left="0"/>
        <w:jc w:val="both"/>
      </w:pPr>
      <w:r>
        <w:rPr>
          <w:rFonts w:ascii="Times New Roman"/>
          <w:b w:val="false"/>
          <w:i w:val="false"/>
          <w:color w:val="000000"/>
          <w:sz w:val="28"/>
        </w:rPr>
        <w:t>
      78. Подразделение по информационным технологиям разрабатывает план мероприятий по реализации стратегии банка в части обеспечения доступности информационно-коммуникационных технологий для критичных бизнес-процессов, который раскрывает, но, не ограничиваясь, следующее:</w:t>
      </w:r>
    </w:p>
    <w:bookmarkEnd w:id="1332"/>
    <w:bookmarkStart w:name="z1127" w:id="1333"/>
    <w:p>
      <w:pPr>
        <w:spacing w:after="0"/>
        <w:ind w:left="0"/>
        <w:jc w:val="both"/>
      </w:pPr>
      <w:r>
        <w:rPr>
          <w:rFonts w:ascii="Times New Roman"/>
          <w:b w:val="false"/>
          <w:i w:val="false"/>
          <w:color w:val="000000"/>
          <w:sz w:val="28"/>
        </w:rPr>
        <w:t>
      1) определение потребностей в ресурсах, в том числе определение бюджета, связанного с развитием информационно-коммуникационных технологий;</w:t>
      </w:r>
    </w:p>
    <w:bookmarkEnd w:id="1333"/>
    <w:bookmarkStart w:name="z1128" w:id="1334"/>
    <w:p>
      <w:pPr>
        <w:spacing w:after="0"/>
        <w:ind w:left="0"/>
        <w:jc w:val="both"/>
      </w:pPr>
      <w:r>
        <w:rPr>
          <w:rFonts w:ascii="Times New Roman"/>
          <w:b w:val="false"/>
          <w:i w:val="false"/>
          <w:color w:val="000000"/>
          <w:sz w:val="28"/>
        </w:rPr>
        <w:t>
      2) описание требуемых мероприятий в области информационно-коммуникационных технологий с указанием сроков и ответственных за их реализацию.</w:t>
      </w:r>
    </w:p>
    <w:bookmarkEnd w:id="1334"/>
    <w:bookmarkStart w:name="z1129" w:id="1335"/>
    <w:p>
      <w:pPr>
        <w:spacing w:after="0"/>
        <w:ind w:left="0"/>
        <w:jc w:val="both"/>
      </w:pPr>
      <w:r>
        <w:rPr>
          <w:rFonts w:ascii="Times New Roman"/>
          <w:b w:val="false"/>
          <w:i w:val="false"/>
          <w:color w:val="000000"/>
          <w:sz w:val="28"/>
        </w:rPr>
        <w:t>
      Банк обеспечивает наличие системы управленческой информации, включающей, но, не ограничиваясь, установление внутреннего порядка, определяющего критерии, состав и частоту отчетности по управлению рисками информационных технологий банка, ответственных лиц (подразделений) за подготовку и доведение информации до соответствующих получателей.</w:t>
      </w:r>
    </w:p>
    <w:bookmarkEnd w:id="1335"/>
    <w:bookmarkStart w:name="z1130" w:id="1336"/>
    <w:p>
      <w:pPr>
        <w:spacing w:after="0"/>
        <w:ind w:left="0"/>
        <w:jc w:val="left"/>
      </w:pPr>
      <w:r>
        <w:rPr>
          <w:rFonts w:ascii="Times New Roman"/>
          <w:b/>
          <w:i w:val="false"/>
          <w:color w:val="000000"/>
        </w:rPr>
        <w:t xml:space="preserve"> Глава 9. Управление рисками информационной безопасности</w:t>
      </w:r>
    </w:p>
    <w:bookmarkEnd w:id="1336"/>
    <w:bookmarkStart w:name="z1131" w:id="1337"/>
    <w:p>
      <w:pPr>
        <w:spacing w:after="0"/>
        <w:ind w:left="0"/>
        <w:jc w:val="both"/>
      </w:pPr>
      <w:r>
        <w:rPr>
          <w:rFonts w:ascii="Times New Roman"/>
          <w:b w:val="false"/>
          <w:i w:val="false"/>
          <w:color w:val="000000"/>
          <w:sz w:val="28"/>
        </w:rPr>
        <w:t>
      79. Совет директоров банка обеспечивает наличие системы управления рисками информационной безопасности, которая соответствует внешней операционной среде, стратегии банка, организационной структуре, объему активов, характеру и уровню сложности операций банка и направлена на минимизацию рисков информационной безопасности.</w:t>
      </w:r>
    </w:p>
    <w:bookmarkEnd w:id="1337"/>
    <w:bookmarkStart w:name="z1132" w:id="1338"/>
    <w:p>
      <w:pPr>
        <w:spacing w:after="0"/>
        <w:ind w:left="0"/>
        <w:jc w:val="both"/>
      </w:pPr>
      <w:r>
        <w:rPr>
          <w:rFonts w:ascii="Times New Roman"/>
          <w:b w:val="false"/>
          <w:i w:val="false"/>
          <w:color w:val="000000"/>
          <w:sz w:val="28"/>
        </w:rPr>
        <w:t>
      80. Система управления рисками информационной безопасности включает, но, не ограничиваясь, следующее:</w:t>
      </w:r>
    </w:p>
    <w:bookmarkEnd w:id="1338"/>
    <w:bookmarkStart w:name="z1133" w:id="1339"/>
    <w:p>
      <w:pPr>
        <w:spacing w:after="0"/>
        <w:ind w:left="0"/>
        <w:jc w:val="both"/>
      </w:pPr>
      <w:r>
        <w:rPr>
          <w:rFonts w:ascii="Times New Roman"/>
          <w:b w:val="false"/>
          <w:i w:val="false"/>
          <w:color w:val="000000"/>
          <w:sz w:val="28"/>
        </w:rPr>
        <w:t>
      1) политику управления рисками информационной безопасности;</w:t>
      </w:r>
    </w:p>
    <w:bookmarkEnd w:id="1339"/>
    <w:bookmarkStart w:name="z1134" w:id="1340"/>
    <w:p>
      <w:pPr>
        <w:spacing w:after="0"/>
        <w:ind w:left="0"/>
        <w:jc w:val="both"/>
      </w:pPr>
      <w:r>
        <w:rPr>
          <w:rFonts w:ascii="Times New Roman"/>
          <w:b w:val="false"/>
          <w:i w:val="false"/>
          <w:color w:val="000000"/>
          <w:sz w:val="28"/>
        </w:rPr>
        <w:t>
      2) процедуры управления рисками информационной безопасности;</w:t>
      </w:r>
    </w:p>
    <w:bookmarkEnd w:id="1340"/>
    <w:bookmarkStart w:name="z1135" w:id="1341"/>
    <w:p>
      <w:pPr>
        <w:spacing w:after="0"/>
        <w:ind w:left="0"/>
        <w:jc w:val="both"/>
      </w:pPr>
      <w:r>
        <w:rPr>
          <w:rFonts w:ascii="Times New Roman"/>
          <w:b w:val="false"/>
          <w:i w:val="false"/>
          <w:color w:val="000000"/>
          <w:sz w:val="28"/>
        </w:rPr>
        <w:t>
      3) систему управленческой информации;</w:t>
      </w:r>
    </w:p>
    <w:bookmarkEnd w:id="1341"/>
    <w:bookmarkStart w:name="z1136" w:id="1342"/>
    <w:p>
      <w:pPr>
        <w:spacing w:after="0"/>
        <w:ind w:left="0"/>
        <w:jc w:val="both"/>
      </w:pPr>
      <w:r>
        <w:rPr>
          <w:rFonts w:ascii="Times New Roman"/>
          <w:b w:val="false"/>
          <w:i w:val="false"/>
          <w:color w:val="000000"/>
          <w:sz w:val="28"/>
        </w:rPr>
        <w:t>
      4) оценку эффективности системы управления рисками информационной безопасности подразделением внутреннего аудита.</w:t>
      </w:r>
    </w:p>
    <w:bookmarkEnd w:id="1342"/>
    <w:bookmarkStart w:name="z1137" w:id="1343"/>
    <w:p>
      <w:pPr>
        <w:spacing w:after="0"/>
        <w:ind w:left="0"/>
        <w:jc w:val="both"/>
      </w:pPr>
      <w:r>
        <w:rPr>
          <w:rFonts w:ascii="Times New Roman"/>
          <w:b w:val="false"/>
          <w:i w:val="false"/>
          <w:color w:val="000000"/>
          <w:sz w:val="28"/>
        </w:rPr>
        <w:t>
      81. Банк определяет следующих участников системы управления рисками информационной безопасности (но, не ограничиваясь ими):</w:t>
      </w:r>
    </w:p>
    <w:bookmarkEnd w:id="1343"/>
    <w:bookmarkStart w:name="z1138" w:id="1344"/>
    <w:p>
      <w:pPr>
        <w:spacing w:after="0"/>
        <w:ind w:left="0"/>
        <w:jc w:val="both"/>
      </w:pPr>
      <w:r>
        <w:rPr>
          <w:rFonts w:ascii="Times New Roman"/>
          <w:b w:val="false"/>
          <w:i w:val="false"/>
          <w:color w:val="000000"/>
          <w:sz w:val="28"/>
        </w:rPr>
        <w:t>
      1) подразделение по управлению рисками банка;</w:t>
      </w:r>
    </w:p>
    <w:bookmarkEnd w:id="1344"/>
    <w:bookmarkStart w:name="z1139" w:id="1345"/>
    <w:p>
      <w:pPr>
        <w:spacing w:after="0"/>
        <w:ind w:left="0"/>
        <w:jc w:val="both"/>
      </w:pPr>
      <w:r>
        <w:rPr>
          <w:rFonts w:ascii="Times New Roman"/>
          <w:b w:val="false"/>
          <w:i w:val="false"/>
          <w:color w:val="000000"/>
          <w:sz w:val="28"/>
        </w:rPr>
        <w:t>
      2) подразделение по информационной безопасности;</w:t>
      </w:r>
    </w:p>
    <w:bookmarkEnd w:id="1345"/>
    <w:bookmarkStart w:name="z1140" w:id="1346"/>
    <w:p>
      <w:pPr>
        <w:spacing w:after="0"/>
        <w:ind w:left="0"/>
        <w:jc w:val="both"/>
      </w:pPr>
      <w:r>
        <w:rPr>
          <w:rFonts w:ascii="Times New Roman"/>
          <w:b w:val="false"/>
          <w:i w:val="false"/>
          <w:color w:val="000000"/>
          <w:sz w:val="28"/>
        </w:rPr>
        <w:t>
      3) подразделение по информационным технологиям;</w:t>
      </w:r>
    </w:p>
    <w:bookmarkEnd w:id="1346"/>
    <w:bookmarkStart w:name="z1141" w:id="1347"/>
    <w:p>
      <w:pPr>
        <w:spacing w:after="0"/>
        <w:ind w:left="0"/>
        <w:jc w:val="both"/>
      </w:pPr>
      <w:r>
        <w:rPr>
          <w:rFonts w:ascii="Times New Roman"/>
          <w:b w:val="false"/>
          <w:i w:val="false"/>
          <w:color w:val="000000"/>
          <w:sz w:val="28"/>
        </w:rPr>
        <w:t>
      4) подразделения-владельцы защищаемой информации.</w:t>
      </w:r>
    </w:p>
    <w:bookmarkEnd w:id="1347"/>
    <w:bookmarkStart w:name="z1142" w:id="1348"/>
    <w:p>
      <w:pPr>
        <w:spacing w:after="0"/>
        <w:ind w:left="0"/>
        <w:jc w:val="both"/>
      </w:pPr>
      <w:r>
        <w:rPr>
          <w:rFonts w:ascii="Times New Roman"/>
          <w:b w:val="false"/>
          <w:i w:val="false"/>
          <w:color w:val="000000"/>
          <w:sz w:val="28"/>
        </w:rPr>
        <w:t>
      82. Банк создает структурное подразделение по управлению рисками, в функции которого входит управление рисками информационной безопасности:</w:t>
      </w:r>
    </w:p>
    <w:bookmarkEnd w:id="1348"/>
    <w:bookmarkStart w:name="z1143" w:id="1349"/>
    <w:p>
      <w:pPr>
        <w:spacing w:after="0"/>
        <w:ind w:left="0"/>
        <w:jc w:val="both"/>
      </w:pPr>
      <w:r>
        <w:rPr>
          <w:rFonts w:ascii="Times New Roman"/>
          <w:b w:val="false"/>
          <w:i w:val="false"/>
          <w:color w:val="000000"/>
          <w:sz w:val="28"/>
        </w:rPr>
        <w:t>
      1) разработка, внедрение и развитие системы управления рисками информационной безопасности;</w:t>
      </w:r>
    </w:p>
    <w:bookmarkEnd w:id="1349"/>
    <w:bookmarkStart w:name="z1144" w:id="1350"/>
    <w:p>
      <w:pPr>
        <w:spacing w:after="0"/>
        <w:ind w:left="0"/>
        <w:jc w:val="both"/>
      </w:pPr>
      <w:r>
        <w:rPr>
          <w:rFonts w:ascii="Times New Roman"/>
          <w:b w:val="false"/>
          <w:i w:val="false"/>
          <w:color w:val="000000"/>
          <w:sz w:val="28"/>
        </w:rPr>
        <w:t>
      2) участие в разработке и согласовании планов мероприятий по реализации стратегии банка в части обеспечения информационной безопасности;</w:t>
      </w:r>
    </w:p>
    <w:bookmarkEnd w:id="1350"/>
    <w:bookmarkStart w:name="z1145" w:id="1351"/>
    <w:p>
      <w:pPr>
        <w:spacing w:after="0"/>
        <w:ind w:left="0"/>
        <w:jc w:val="both"/>
      </w:pPr>
      <w:r>
        <w:rPr>
          <w:rFonts w:ascii="Times New Roman"/>
          <w:b w:val="false"/>
          <w:i w:val="false"/>
          <w:color w:val="000000"/>
          <w:sz w:val="28"/>
        </w:rPr>
        <w:t>
      3) создание и руководство рабочей группой по формированию перечня критичных информационных активов банка, включающей как минимум подразделения-владельцев защищаемой информации;</w:t>
      </w:r>
    </w:p>
    <w:bookmarkEnd w:id="1351"/>
    <w:bookmarkStart w:name="z1146" w:id="1352"/>
    <w:p>
      <w:pPr>
        <w:spacing w:after="0"/>
        <w:ind w:left="0"/>
        <w:jc w:val="both"/>
      </w:pPr>
      <w:r>
        <w:rPr>
          <w:rFonts w:ascii="Times New Roman"/>
          <w:b w:val="false"/>
          <w:i w:val="false"/>
          <w:color w:val="000000"/>
          <w:sz w:val="28"/>
        </w:rPr>
        <w:t>
      4) участие в оценке рисков информационной безопасности;</w:t>
      </w:r>
    </w:p>
    <w:bookmarkEnd w:id="1352"/>
    <w:bookmarkStart w:name="z1147" w:id="1353"/>
    <w:p>
      <w:pPr>
        <w:spacing w:after="0"/>
        <w:ind w:left="0"/>
        <w:jc w:val="both"/>
      </w:pPr>
      <w:r>
        <w:rPr>
          <w:rFonts w:ascii="Times New Roman"/>
          <w:b w:val="false"/>
          <w:i w:val="false"/>
          <w:color w:val="000000"/>
          <w:sz w:val="28"/>
        </w:rPr>
        <w:t>
      5) мониторинг уровня рисков информационной безопасности;</w:t>
      </w:r>
    </w:p>
    <w:bookmarkEnd w:id="1353"/>
    <w:bookmarkStart w:name="z1148" w:id="1354"/>
    <w:p>
      <w:pPr>
        <w:spacing w:after="0"/>
        <w:ind w:left="0"/>
        <w:jc w:val="both"/>
      </w:pPr>
      <w:r>
        <w:rPr>
          <w:rFonts w:ascii="Times New Roman"/>
          <w:b w:val="false"/>
          <w:i w:val="false"/>
          <w:color w:val="000000"/>
          <w:sz w:val="28"/>
        </w:rPr>
        <w:t>
      6) взаимодействие и консультирование структурных подразделений банка по вопросам управления рисками информационной безопасности;</w:t>
      </w:r>
    </w:p>
    <w:bookmarkEnd w:id="1354"/>
    <w:bookmarkStart w:name="z1149" w:id="1355"/>
    <w:p>
      <w:pPr>
        <w:spacing w:after="0"/>
        <w:ind w:left="0"/>
        <w:jc w:val="both"/>
      </w:pPr>
      <w:r>
        <w:rPr>
          <w:rFonts w:ascii="Times New Roman"/>
          <w:b w:val="false"/>
          <w:i w:val="false"/>
          <w:color w:val="000000"/>
          <w:sz w:val="28"/>
        </w:rPr>
        <w:t>
      7) планирование проведения и анализ результатов оценки рисков информационной безопасности, проводимых подразделением по информационной безопасности;</w:t>
      </w:r>
    </w:p>
    <w:bookmarkEnd w:id="1355"/>
    <w:bookmarkStart w:name="z1150" w:id="1356"/>
    <w:p>
      <w:pPr>
        <w:spacing w:after="0"/>
        <w:ind w:left="0"/>
        <w:jc w:val="both"/>
      </w:pPr>
      <w:r>
        <w:rPr>
          <w:rFonts w:ascii="Times New Roman"/>
          <w:b w:val="false"/>
          <w:i w:val="false"/>
          <w:color w:val="000000"/>
          <w:sz w:val="28"/>
        </w:rPr>
        <w:t>
      8) разработка и формирование реестра рисков, включающего риски информационной безопасности;</w:t>
      </w:r>
    </w:p>
    <w:bookmarkEnd w:id="1356"/>
    <w:bookmarkStart w:name="z1151" w:id="1357"/>
    <w:p>
      <w:pPr>
        <w:spacing w:after="0"/>
        <w:ind w:left="0"/>
        <w:jc w:val="both"/>
      </w:pPr>
      <w:r>
        <w:rPr>
          <w:rFonts w:ascii="Times New Roman"/>
          <w:b w:val="false"/>
          <w:i w:val="false"/>
          <w:color w:val="000000"/>
          <w:sz w:val="28"/>
        </w:rPr>
        <w:t>
      9) предоставление отчетности о реализации существенных рисков информационной безопасности и мониторинг исполнения мероприятий по устранению их последствий комитету по управлению рисками;</w:t>
      </w:r>
    </w:p>
    <w:bookmarkEnd w:id="1357"/>
    <w:bookmarkStart w:name="z1152" w:id="1358"/>
    <w:p>
      <w:pPr>
        <w:spacing w:after="0"/>
        <w:ind w:left="0"/>
        <w:jc w:val="both"/>
      </w:pPr>
      <w:r>
        <w:rPr>
          <w:rFonts w:ascii="Times New Roman"/>
          <w:b w:val="false"/>
          <w:i w:val="false"/>
          <w:color w:val="000000"/>
          <w:sz w:val="28"/>
        </w:rPr>
        <w:t>
      10) предоставление отчетности или иной информации по управлению рисками информационной безопасности совету директоров банка;</w:t>
      </w:r>
    </w:p>
    <w:bookmarkEnd w:id="1358"/>
    <w:bookmarkStart w:name="z1153" w:id="1359"/>
    <w:p>
      <w:pPr>
        <w:spacing w:after="0"/>
        <w:ind w:left="0"/>
        <w:jc w:val="both"/>
      </w:pPr>
      <w:r>
        <w:rPr>
          <w:rFonts w:ascii="Times New Roman"/>
          <w:b w:val="false"/>
          <w:i w:val="false"/>
          <w:color w:val="000000"/>
          <w:sz w:val="28"/>
        </w:rPr>
        <w:t>
      11) использование результатов внутреннего аудита в части рисков информационной безопасности.</w:t>
      </w:r>
    </w:p>
    <w:bookmarkEnd w:id="1359"/>
    <w:bookmarkStart w:name="z1154" w:id="1360"/>
    <w:p>
      <w:pPr>
        <w:spacing w:after="0"/>
        <w:ind w:left="0"/>
        <w:jc w:val="both"/>
      </w:pPr>
      <w:r>
        <w:rPr>
          <w:rFonts w:ascii="Times New Roman"/>
          <w:b w:val="false"/>
          <w:i w:val="false"/>
          <w:color w:val="000000"/>
          <w:sz w:val="28"/>
        </w:rPr>
        <w:t>
      83. Банк создает структурное подразделение по информационной безопасности, в функции которого входит:</w:t>
      </w:r>
    </w:p>
    <w:bookmarkEnd w:id="1360"/>
    <w:bookmarkStart w:name="z1155" w:id="1361"/>
    <w:p>
      <w:pPr>
        <w:spacing w:after="0"/>
        <w:ind w:left="0"/>
        <w:jc w:val="both"/>
      </w:pPr>
      <w:r>
        <w:rPr>
          <w:rFonts w:ascii="Times New Roman"/>
          <w:b w:val="false"/>
          <w:i w:val="false"/>
          <w:color w:val="000000"/>
          <w:sz w:val="28"/>
        </w:rPr>
        <w:t>
      1) проведение оценки рисков информационной безопасности;</w:t>
      </w:r>
    </w:p>
    <w:bookmarkEnd w:id="1361"/>
    <w:bookmarkStart w:name="z1156" w:id="1362"/>
    <w:p>
      <w:pPr>
        <w:spacing w:after="0"/>
        <w:ind w:left="0"/>
        <w:jc w:val="both"/>
      </w:pPr>
      <w:r>
        <w:rPr>
          <w:rFonts w:ascii="Times New Roman"/>
          <w:b w:val="false"/>
          <w:i w:val="false"/>
          <w:color w:val="000000"/>
          <w:sz w:val="28"/>
        </w:rPr>
        <w:t>
      2) разработка мер по обработке рисков информационной безопасности и предоставление отчетности по их реализации в подразделение по управлению рисками;</w:t>
      </w:r>
    </w:p>
    <w:bookmarkEnd w:id="1362"/>
    <w:bookmarkStart w:name="z1157" w:id="1363"/>
    <w:p>
      <w:pPr>
        <w:spacing w:after="0"/>
        <w:ind w:left="0"/>
        <w:jc w:val="both"/>
      </w:pPr>
      <w:r>
        <w:rPr>
          <w:rFonts w:ascii="Times New Roman"/>
          <w:b w:val="false"/>
          <w:i w:val="false"/>
          <w:color w:val="000000"/>
          <w:sz w:val="28"/>
        </w:rPr>
        <w:t>
      3) подготовка и предоставление отчетности о реализации существенных рисков информационной безопасности в подразделение рисков банка, а также об устранении их последствий;</w:t>
      </w:r>
    </w:p>
    <w:bookmarkEnd w:id="1363"/>
    <w:bookmarkStart w:name="z1158" w:id="1364"/>
    <w:p>
      <w:pPr>
        <w:spacing w:after="0"/>
        <w:ind w:left="0"/>
        <w:jc w:val="both"/>
      </w:pPr>
      <w:r>
        <w:rPr>
          <w:rFonts w:ascii="Times New Roman"/>
          <w:b w:val="false"/>
          <w:i w:val="false"/>
          <w:color w:val="000000"/>
          <w:sz w:val="28"/>
        </w:rPr>
        <w:t>
      4) разработка планов мероприятий по реализации стратегии банка в части обеспечения информационной безопасности.</w:t>
      </w:r>
    </w:p>
    <w:bookmarkEnd w:id="1364"/>
    <w:bookmarkStart w:name="z1159" w:id="1365"/>
    <w:p>
      <w:pPr>
        <w:spacing w:after="0"/>
        <w:ind w:left="0"/>
        <w:jc w:val="both"/>
      </w:pPr>
      <w:r>
        <w:rPr>
          <w:rFonts w:ascii="Times New Roman"/>
          <w:b w:val="false"/>
          <w:i w:val="false"/>
          <w:color w:val="000000"/>
          <w:sz w:val="28"/>
        </w:rPr>
        <w:t>
      Банк обеспечивает независимость структурного подразделения по управлению рисками от структурного подразделения по информационной безопасности.</w:t>
      </w:r>
    </w:p>
    <w:bookmarkEnd w:id="1365"/>
    <w:bookmarkStart w:name="z1160" w:id="1366"/>
    <w:p>
      <w:pPr>
        <w:spacing w:after="0"/>
        <w:ind w:left="0"/>
        <w:jc w:val="both"/>
      </w:pPr>
      <w:r>
        <w:rPr>
          <w:rFonts w:ascii="Times New Roman"/>
          <w:b w:val="false"/>
          <w:i w:val="false"/>
          <w:color w:val="000000"/>
          <w:sz w:val="28"/>
        </w:rPr>
        <w:t>
      84. Подразделение по управлению рисками разрабатывает внутренний документ, определяющий порядок управления рисками информационной безопасности, который включает, но, не ограничиваясь, следующее:</w:t>
      </w:r>
    </w:p>
    <w:bookmarkEnd w:id="1366"/>
    <w:bookmarkStart w:name="z1161" w:id="1367"/>
    <w:p>
      <w:pPr>
        <w:spacing w:after="0"/>
        <w:ind w:left="0"/>
        <w:jc w:val="both"/>
      </w:pPr>
      <w:r>
        <w:rPr>
          <w:rFonts w:ascii="Times New Roman"/>
          <w:b w:val="false"/>
          <w:i w:val="false"/>
          <w:color w:val="000000"/>
          <w:sz w:val="28"/>
        </w:rPr>
        <w:t>
      1) процедуры идентификации и классификации информационных активов, с целью выявления критичных информационных активов;</w:t>
      </w:r>
    </w:p>
    <w:bookmarkEnd w:id="1367"/>
    <w:bookmarkStart w:name="z1162" w:id="1368"/>
    <w:p>
      <w:pPr>
        <w:spacing w:after="0"/>
        <w:ind w:left="0"/>
        <w:jc w:val="both"/>
      </w:pPr>
      <w:r>
        <w:rPr>
          <w:rFonts w:ascii="Times New Roman"/>
          <w:b w:val="false"/>
          <w:i w:val="false"/>
          <w:color w:val="000000"/>
          <w:sz w:val="28"/>
        </w:rPr>
        <w:t>
      2) процедуры идентификации уязвимостей критичных информационных активов;</w:t>
      </w:r>
    </w:p>
    <w:bookmarkEnd w:id="1368"/>
    <w:bookmarkStart w:name="z1163" w:id="1369"/>
    <w:p>
      <w:pPr>
        <w:spacing w:after="0"/>
        <w:ind w:left="0"/>
        <w:jc w:val="both"/>
      </w:pPr>
      <w:r>
        <w:rPr>
          <w:rFonts w:ascii="Times New Roman"/>
          <w:b w:val="false"/>
          <w:i w:val="false"/>
          <w:color w:val="000000"/>
          <w:sz w:val="28"/>
        </w:rPr>
        <w:t>
      3) процедуры идентификации потенциальных угроз в отношении критичных информационных активов;</w:t>
      </w:r>
    </w:p>
    <w:bookmarkEnd w:id="1369"/>
    <w:bookmarkStart w:name="z1164" w:id="1370"/>
    <w:p>
      <w:pPr>
        <w:spacing w:after="0"/>
        <w:ind w:left="0"/>
        <w:jc w:val="both"/>
      </w:pPr>
      <w:r>
        <w:rPr>
          <w:rFonts w:ascii="Times New Roman"/>
          <w:b w:val="false"/>
          <w:i w:val="false"/>
          <w:color w:val="000000"/>
          <w:sz w:val="28"/>
        </w:rPr>
        <w:t>
      4) процедуры идентификации существующих мер управления рисками информационной безопасности;</w:t>
      </w:r>
    </w:p>
    <w:bookmarkEnd w:id="1370"/>
    <w:bookmarkStart w:name="z1165" w:id="1371"/>
    <w:p>
      <w:pPr>
        <w:spacing w:after="0"/>
        <w:ind w:left="0"/>
        <w:jc w:val="both"/>
      </w:pPr>
      <w:r>
        <w:rPr>
          <w:rFonts w:ascii="Times New Roman"/>
          <w:b w:val="false"/>
          <w:i w:val="false"/>
          <w:color w:val="000000"/>
          <w:sz w:val="28"/>
        </w:rPr>
        <w:t>
      5) процедуры оценки вероятности и последствий нарушения конфиденциальности, целостности и доступности информационных активов, применяя качественные и (или) количественные методы оценки, в том числе на основании данных об их реализации;</w:t>
      </w:r>
    </w:p>
    <w:bookmarkEnd w:id="1371"/>
    <w:bookmarkStart w:name="z1166" w:id="1372"/>
    <w:p>
      <w:pPr>
        <w:spacing w:after="0"/>
        <w:ind w:left="0"/>
        <w:jc w:val="both"/>
      </w:pPr>
      <w:r>
        <w:rPr>
          <w:rFonts w:ascii="Times New Roman"/>
          <w:b w:val="false"/>
          <w:i w:val="false"/>
          <w:color w:val="000000"/>
          <w:sz w:val="28"/>
        </w:rPr>
        <w:t>
      6) процедуры сбора и хранения сведений о реализации существенных рисков информационной безопасности;</w:t>
      </w:r>
    </w:p>
    <w:bookmarkEnd w:id="1372"/>
    <w:bookmarkStart w:name="z1167" w:id="1373"/>
    <w:p>
      <w:pPr>
        <w:spacing w:after="0"/>
        <w:ind w:left="0"/>
        <w:jc w:val="both"/>
      </w:pPr>
      <w:r>
        <w:rPr>
          <w:rFonts w:ascii="Times New Roman"/>
          <w:b w:val="false"/>
          <w:i w:val="false"/>
          <w:color w:val="000000"/>
          <w:sz w:val="28"/>
        </w:rPr>
        <w:t>
      7) процедуры формирования реестра рисков, включающего риски информационной безопасности;</w:t>
      </w:r>
    </w:p>
    <w:bookmarkEnd w:id="1373"/>
    <w:bookmarkStart w:name="z1168" w:id="1374"/>
    <w:p>
      <w:pPr>
        <w:spacing w:after="0"/>
        <w:ind w:left="0"/>
        <w:jc w:val="both"/>
      </w:pPr>
      <w:r>
        <w:rPr>
          <w:rFonts w:ascii="Times New Roman"/>
          <w:b w:val="false"/>
          <w:i w:val="false"/>
          <w:color w:val="000000"/>
          <w:sz w:val="28"/>
        </w:rPr>
        <w:t>
      8) процедуры мониторинга исполнения мер по обработке рисков информационной безопасности.</w:t>
      </w:r>
    </w:p>
    <w:bookmarkEnd w:id="1374"/>
    <w:bookmarkStart w:name="z1169" w:id="1375"/>
    <w:p>
      <w:pPr>
        <w:spacing w:after="0"/>
        <w:ind w:left="0"/>
        <w:jc w:val="both"/>
      </w:pPr>
      <w:r>
        <w:rPr>
          <w:rFonts w:ascii="Times New Roman"/>
          <w:b w:val="false"/>
          <w:i w:val="false"/>
          <w:color w:val="000000"/>
          <w:sz w:val="28"/>
        </w:rPr>
        <w:t>
      85. Подразделение по информационной безопасности разрабатывает план мероприятий по реализации стратегии банка в части обеспечения информационной безопасности, который раскрывает, но, не ограничиваясь, следующее:</w:t>
      </w:r>
    </w:p>
    <w:bookmarkEnd w:id="1375"/>
    <w:bookmarkStart w:name="z1170" w:id="1376"/>
    <w:p>
      <w:pPr>
        <w:spacing w:after="0"/>
        <w:ind w:left="0"/>
        <w:jc w:val="both"/>
      </w:pPr>
      <w:r>
        <w:rPr>
          <w:rFonts w:ascii="Times New Roman"/>
          <w:b w:val="false"/>
          <w:i w:val="false"/>
          <w:color w:val="000000"/>
          <w:sz w:val="28"/>
        </w:rPr>
        <w:t>
      1) определение потребностей в ресурсах, в том числе определение бюджета, связанного с реализацией мер, направленных на управление рисками информационной безопасности;</w:t>
      </w:r>
    </w:p>
    <w:bookmarkEnd w:id="1376"/>
    <w:bookmarkStart w:name="z1171" w:id="1377"/>
    <w:p>
      <w:pPr>
        <w:spacing w:after="0"/>
        <w:ind w:left="0"/>
        <w:jc w:val="both"/>
      </w:pPr>
      <w:r>
        <w:rPr>
          <w:rFonts w:ascii="Times New Roman"/>
          <w:b w:val="false"/>
          <w:i w:val="false"/>
          <w:color w:val="000000"/>
          <w:sz w:val="28"/>
        </w:rPr>
        <w:t>
      2) описание требуемых мероприятий в области информационной безопасности с указанием сроков и ответственных исполнителей за их реализацию.</w:t>
      </w:r>
    </w:p>
    <w:bookmarkEnd w:id="1377"/>
    <w:bookmarkStart w:name="z1172" w:id="1378"/>
    <w:p>
      <w:pPr>
        <w:spacing w:after="0"/>
        <w:ind w:left="0"/>
        <w:jc w:val="both"/>
      </w:pPr>
      <w:r>
        <w:rPr>
          <w:rFonts w:ascii="Times New Roman"/>
          <w:b w:val="false"/>
          <w:i w:val="false"/>
          <w:color w:val="000000"/>
          <w:sz w:val="28"/>
        </w:rPr>
        <w:t>
      86. Подразделения-владельцы защищаемой информации, в рамках управления рисками информационной безопасности осуществляют:</w:t>
      </w:r>
    </w:p>
    <w:bookmarkEnd w:id="1378"/>
    <w:bookmarkStart w:name="z1173" w:id="1379"/>
    <w:p>
      <w:pPr>
        <w:spacing w:after="0"/>
        <w:ind w:left="0"/>
        <w:jc w:val="both"/>
      </w:pPr>
      <w:r>
        <w:rPr>
          <w:rFonts w:ascii="Times New Roman"/>
          <w:b w:val="false"/>
          <w:i w:val="false"/>
          <w:color w:val="000000"/>
          <w:sz w:val="28"/>
        </w:rPr>
        <w:t>
      1) предоставление описания защищаемой информации в подразделение по управлению рисками;</w:t>
      </w:r>
    </w:p>
    <w:bookmarkEnd w:id="1379"/>
    <w:bookmarkStart w:name="z1174" w:id="1380"/>
    <w:p>
      <w:pPr>
        <w:spacing w:after="0"/>
        <w:ind w:left="0"/>
        <w:jc w:val="both"/>
      </w:pPr>
      <w:r>
        <w:rPr>
          <w:rFonts w:ascii="Times New Roman"/>
          <w:b w:val="false"/>
          <w:i w:val="false"/>
          <w:color w:val="000000"/>
          <w:sz w:val="28"/>
        </w:rPr>
        <w:t>
      2) формирование перечня критичных информационных активов банка в составе рабочей группы по формированию перечня критичных информационных активов банка под руководством подразделения по управлению рисками.</w:t>
      </w:r>
    </w:p>
    <w:bookmarkEnd w:id="1380"/>
    <w:bookmarkStart w:name="z1175" w:id="1381"/>
    <w:p>
      <w:pPr>
        <w:spacing w:after="0"/>
        <w:ind w:left="0"/>
        <w:jc w:val="both"/>
      </w:pPr>
      <w:r>
        <w:rPr>
          <w:rFonts w:ascii="Times New Roman"/>
          <w:b w:val="false"/>
          <w:i w:val="false"/>
          <w:color w:val="000000"/>
          <w:sz w:val="28"/>
        </w:rPr>
        <w:t>
      87. Банк обеспечивает наличие системы управленческой информации, включающей, но не ограничивающейся установлением внутреннего порядка, определяющего критерии, состав и частоту отчетности по управлению рисками информационной безопасности банка, ответственных лиц (подразделений) за подготовку и доведение информации до соответствующих получателей.</w:t>
      </w:r>
    </w:p>
    <w:bookmarkEnd w:id="1381"/>
    <w:bookmarkStart w:name="z1176" w:id="1382"/>
    <w:p>
      <w:pPr>
        <w:spacing w:after="0"/>
        <w:ind w:left="0"/>
        <w:jc w:val="left"/>
      </w:pPr>
      <w:r>
        <w:rPr>
          <w:rFonts w:ascii="Times New Roman"/>
          <w:b/>
          <w:i w:val="false"/>
          <w:color w:val="000000"/>
        </w:rPr>
        <w:t xml:space="preserve"> Глава 10. Управление комплаенс-риском</w:t>
      </w:r>
    </w:p>
    <w:bookmarkEnd w:id="1382"/>
    <w:bookmarkStart w:name="z1177" w:id="1383"/>
    <w:p>
      <w:pPr>
        <w:spacing w:after="0"/>
        <w:ind w:left="0"/>
        <w:jc w:val="both"/>
      </w:pPr>
      <w:r>
        <w:rPr>
          <w:rFonts w:ascii="Times New Roman"/>
          <w:b w:val="false"/>
          <w:i w:val="false"/>
          <w:color w:val="000000"/>
          <w:sz w:val="28"/>
        </w:rPr>
        <w:t>
      88. Совет директоров банка контролирует процедуру управления комплаенс-риском банка, создает подразделение по комплаенс-контролю в банке, назначает и освобождает от должности главного комплаенс-контролера, утверждает политику управления комплаенс-риском.</w:t>
      </w:r>
    </w:p>
    <w:bookmarkEnd w:id="1383"/>
    <w:bookmarkStart w:name="z1178" w:id="1384"/>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комплаенс-риска.</w:t>
      </w:r>
    </w:p>
    <w:bookmarkEnd w:id="1384"/>
    <w:bookmarkStart w:name="z1179" w:id="1385"/>
    <w:p>
      <w:pPr>
        <w:spacing w:after="0"/>
        <w:ind w:left="0"/>
        <w:jc w:val="both"/>
      </w:pPr>
      <w:r>
        <w:rPr>
          <w:rFonts w:ascii="Times New Roman"/>
          <w:b w:val="false"/>
          <w:i w:val="false"/>
          <w:color w:val="000000"/>
          <w:sz w:val="28"/>
        </w:rPr>
        <w:t>
      Комитет по вопросам управления рисками отвечает за разработку политики управления комплаенс-риском, подлежащей утверждению советом директоров и содержащей основные принципы управления комплаенс-риском, в том числе принципы создания комплаенс-культуры в банке, на основании которых выявляются и управляется комплаенс-риск на всех уровнях структуры банка.</w:t>
      </w:r>
    </w:p>
    <w:bookmarkEnd w:id="1385"/>
    <w:bookmarkStart w:name="z1180" w:id="1386"/>
    <w:p>
      <w:pPr>
        <w:spacing w:after="0"/>
        <w:ind w:left="0"/>
        <w:jc w:val="both"/>
      </w:pPr>
      <w:r>
        <w:rPr>
          <w:rFonts w:ascii="Times New Roman"/>
          <w:b w:val="false"/>
          <w:i w:val="false"/>
          <w:color w:val="000000"/>
          <w:sz w:val="28"/>
        </w:rPr>
        <w:t>
      89. Подразделение по комплаенс-контролю является ответственным за разработку политики управления комплаенс-риском, обеспечение управления комплаенс-риском и координацию деятельности банка по управлению комплаенс-риском. Политика управления комплаенс-риском филиала банка-нерезидента Республики Казахстан разрабатывается подразделением по комплаенс-контролю банка-нерезидента Республики Казахстан, филиал которого открыт на территории Республики Казахстан.</w:t>
      </w:r>
    </w:p>
    <w:bookmarkEnd w:id="1386"/>
    <w:p>
      <w:pPr>
        <w:spacing w:after="0"/>
        <w:ind w:left="0"/>
        <w:jc w:val="both"/>
      </w:pPr>
      <w:r>
        <w:rPr>
          <w:rFonts w:ascii="Times New Roman"/>
          <w:b w:val="false"/>
          <w:i w:val="false"/>
          <w:color w:val="000000"/>
          <w:sz w:val="28"/>
        </w:rPr>
        <w:t>
      Подразделение по комплаенс-контролю является структурным подразделением банка, независимым от какой-либо деятельности структурных подразделений банка, составляющих первую линию защиты.</w:t>
      </w:r>
    </w:p>
    <w:p>
      <w:pPr>
        <w:spacing w:after="0"/>
        <w:ind w:left="0"/>
        <w:jc w:val="both"/>
      </w:pPr>
      <w:r>
        <w:rPr>
          <w:rFonts w:ascii="Times New Roman"/>
          <w:b w:val="false"/>
          <w:i w:val="false"/>
          <w:color w:val="000000"/>
          <w:sz w:val="28"/>
        </w:rPr>
        <w:t>
      Независимость подразделения по комплаенс-контролю обеспечивается следующими факторами:</w:t>
      </w:r>
    </w:p>
    <w:p>
      <w:pPr>
        <w:spacing w:after="0"/>
        <w:ind w:left="0"/>
        <w:jc w:val="both"/>
      </w:pPr>
      <w:r>
        <w:rPr>
          <w:rFonts w:ascii="Times New Roman"/>
          <w:b w:val="false"/>
          <w:i w:val="false"/>
          <w:color w:val="000000"/>
          <w:sz w:val="28"/>
        </w:rPr>
        <w:t>
      подразделение по комплаенс-контролю имеет статус самостоятельного структурного подразделения;</w:t>
      </w:r>
    </w:p>
    <w:p>
      <w:pPr>
        <w:spacing w:after="0"/>
        <w:ind w:left="0"/>
        <w:jc w:val="both"/>
      </w:pPr>
      <w:r>
        <w:rPr>
          <w:rFonts w:ascii="Times New Roman"/>
          <w:b w:val="false"/>
          <w:i w:val="false"/>
          <w:color w:val="000000"/>
          <w:sz w:val="28"/>
        </w:rPr>
        <w:t>
      работники подразделения по комплаенс-контролю не занимают должности по совместительству в иных структурных подразделениях банка;</w:t>
      </w:r>
    </w:p>
    <w:p>
      <w:pPr>
        <w:spacing w:after="0"/>
        <w:ind w:left="0"/>
        <w:jc w:val="both"/>
      </w:pPr>
      <w:r>
        <w:rPr>
          <w:rFonts w:ascii="Times New Roman"/>
          <w:b w:val="false"/>
          <w:i w:val="false"/>
          <w:color w:val="000000"/>
          <w:sz w:val="28"/>
        </w:rPr>
        <w:t>
      руководитель и работники подразделения по комплаенс-контролю не оказываются в ситуации, когда возможен конфликт интересов между их обязанностями по управлению комплаенс-риском и любыми другими возложенными на них обязанностями;</w:t>
      </w:r>
    </w:p>
    <w:p>
      <w:pPr>
        <w:spacing w:after="0"/>
        <w:ind w:left="0"/>
        <w:jc w:val="both"/>
      </w:pPr>
      <w:r>
        <w:rPr>
          <w:rFonts w:ascii="Times New Roman"/>
          <w:b w:val="false"/>
          <w:i w:val="false"/>
          <w:color w:val="000000"/>
          <w:sz w:val="28"/>
        </w:rPr>
        <w:t>
      работники подразделения по комплаенс-контролю в рамках своей компетенции имеют доступ и при необходимости требуют любую информацию у структурных подразделений банка, дочерних организаций банка, а также привлекают работников банка и его дочерних организаций для содействия выполнению функции комплаенс-контроля.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1387"/>
    <w:p>
      <w:pPr>
        <w:spacing w:after="0"/>
        <w:ind w:left="0"/>
        <w:jc w:val="both"/>
      </w:pPr>
      <w:r>
        <w:rPr>
          <w:rFonts w:ascii="Times New Roman"/>
          <w:b w:val="false"/>
          <w:i w:val="false"/>
          <w:color w:val="000000"/>
          <w:sz w:val="28"/>
        </w:rPr>
        <w:t>
      90. Подразделение по комплаенс-контролю осуществляет, но, не ограничиваясь, следующие функции:</w:t>
      </w:r>
    </w:p>
    <w:bookmarkEnd w:id="1387"/>
    <w:bookmarkStart w:name="z1943" w:id="1388"/>
    <w:p>
      <w:pPr>
        <w:spacing w:after="0"/>
        <w:ind w:left="0"/>
        <w:jc w:val="both"/>
      </w:pPr>
      <w:r>
        <w:rPr>
          <w:rFonts w:ascii="Times New Roman"/>
          <w:b w:val="false"/>
          <w:i w:val="false"/>
          <w:color w:val="000000"/>
          <w:sz w:val="28"/>
        </w:rPr>
        <w:t>
      1) разработку внутреннего порядка, способов и процедур выявления, измерения, мониторинга и контроля за комплаенс-риском банка на консолидированной основе;</w:t>
      </w:r>
    </w:p>
    <w:bookmarkEnd w:id="1388"/>
    <w:bookmarkStart w:name="z1944" w:id="1389"/>
    <w:p>
      <w:pPr>
        <w:spacing w:after="0"/>
        <w:ind w:left="0"/>
        <w:jc w:val="both"/>
      </w:pPr>
      <w:r>
        <w:rPr>
          <w:rFonts w:ascii="Times New Roman"/>
          <w:b w:val="false"/>
          <w:i w:val="false"/>
          <w:color w:val="000000"/>
          <w:sz w:val="28"/>
        </w:rPr>
        <w:t>
      2) разработку, внедрение и обеспечение наличия правил внутреннего контроля для целей противодействия ОД/ФТ;</w:t>
      </w:r>
    </w:p>
    <w:bookmarkEnd w:id="1389"/>
    <w:bookmarkStart w:name="z1945" w:id="1390"/>
    <w:p>
      <w:pPr>
        <w:spacing w:after="0"/>
        <w:ind w:left="0"/>
        <w:jc w:val="both"/>
      </w:pPr>
      <w:r>
        <w:rPr>
          <w:rFonts w:ascii="Times New Roman"/>
          <w:b w:val="false"/>
          <w:i w:val="false"/>
          <w:color w:val="000000"/>
          <w:sz w:val="28"/>
        </w:rPr>
        <w:t>
      3) формирование комплаенс-программы (плана), которая включает в том числе:</w:t>
      </w:r>
    </w:p>
    <w:bookmarkEnd w:id="1390"/>
    <w:bookmarkStart w:name="z1946" w:id="1391"/>
    <w:p>
      <w:pPr>
        <w:spacing w:after="0"/>
        <w:ind w:left="0"/>
        <w:jc w:val="both"/>
      </w:pPr>
      <w:r>
        <w:rPr>
          <w:rFonts w:ascii="Times New Roman"/>
          <w:b w:val="false"/>
          <w:i w:val="false"/>
          <w:color w:val="000000"/>
          <w:sz w:val="28"/>
        </w:rPr>
        <w:t>
      проверку соблюдения подразделениями банка политики управления комплаенс-риском с учетом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1391"/>
    <w:bookmarkStart w:name="z1947" w:id="1392"/>
    <w:p>
      <w:pPr>
        <w:spacing w:after="0"/>
        <w:ind w:left="0"/>
        <w:jc w:val="both"/>
      </w:pPr>
      <w:r>
        <w:rPr>
          <w:rFonts w:ascii="Times New Roman"/>
          <w:b w:val="false"/>
          <w:i w:val="false"/>
          <w:color w:val="000000"/>
          <w:sz w:val="28"/>
        </w:rPr>
        <w:t>
      проверку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регламентирующего вопросы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 в целях определения степени подверженности банка комплаенс-риску;</w:t>
      </w:r>
    </w:p>
    <w:bookmarkEnd w:id="1392"/>
    <w:bookmarkStart w:name="z1948" w:id="1393"/>
    <w:p>
      <w:pPr>
        <w:spacing w:after="0"/>
        <w:ind w:left="0"/>
        <w:jc w:val="both"/>
      </w:pPr>
      <w:r>
        <w:rPr>
          <w:rFonts w:ascii="Times New Roman"/>
          <w:b w:val="false"/>
          <w:i w:val="false"/>
          <w:color w:val="000000"/>
          <w:sz w:val="28"/>
        </w:rPr>
        <w:t>
      обучение персонала по вопросам управления комплаенс-риском;</w:t>
      </w:r>
    </w:p>
    <w:bookmarkEnd w:id="1393"/>
    <w:bookmarkStart w:name="z1949" w:id="1394"/>
    <w:p>
      <w:pPr>
        <w:spacing w:after="0"/>
        <w:ind w:left="0"/>
        <w:jc w:val="both"/>
      </w:pPr>
      <w:r>
        <w:rPr>
          <w:rFonts w:ascii="Times New Roman"/>
          <w:b w:val="false"/>
          <w:i w:val="false"/>
          <w:color w:val="000000"/>
          <w:sz w:val="28"/>
        </w:rPr>
        <w:t>
      4) содействие правлению банка в управлении комплаенс-риском банка;</w:t>
      </w:r>
    </w:p>
    <w:bookmarkEnd w:id="1394"/>
    <w:bookmarkStart w:name="z1950" w:id="1395"/>
    <w:p>
      <w:pPr>
        <w:spacing w:after="0"/>
        <w:ind w:left="0"/>
        <w:jc w:val="both"/>
      </w:pPr>
      <w:r>
        <w:rPr>
          <w:rFonts w:ascii="Times New Roman"/>
          <w:b w:val="false"/>
          <w:i w:val="false"/>
          <w:color w:val="000000"/>
          <w:sz w:val="28"/>
        </w:rPr>
        <w:t>
      5) консультирование руководства и работников банка о нормах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правилах, политиках, имеющих отношение к управлению комплаенс-риском, включая информирование об изменениях, за исключением случаев, когда такую функцию выполняет юридическое подразделение банка;</w:t>
      </w:r>
    </w:p>
    <w:bookmarkEnd w:id="1395"/>
    <w:bookmarkStart w:name="z1951" w:id="1396"/>
    <w:p>
      <w:pPr>
        <w:spacing w:after="0"/>
        <w:ind w:left="0"/>
        <w:jc w:val="both"/>
      </w:pPr>
      <w:r>
        <w:rPr>
          <w:rFonts w:ascii="Times New Roman"/>
          <w:b w:val="false"/>
          <w:i w:val="false"/>
          <w:color w:val="000000"/>
          <w:sz w:val="28"/>
        </w:rPr>
        <w:t>
      6) контроль организации в банке работы по ознакомлению работников банка с требованиями внутренних документов банка, регламентирующих порядок оказания банком услуг и проведения операций на финансовом рынке;</w:t>
      </w:r>
    </w:p>
    <w:bookmarkEnd w:id="1396"/>
    <w:bookmarkStart w:name="z1952" w:id="1397"/>
    <w:p>
      <w:pPr>
        <w:spacing w:after="0"/>
        <w:ind w:left="0"/>
        <w:jc w:val="both"/>
      </w:pPr>
      <w:r>
        <w:rPr>
          <w:rFonts w:ascii="Times New Roman"/>
          <w:b w:val="false"/>
          <w:i w:val="false"/>
          <w:color w:val="000000"/>
          <w:sz w:val="28"/>
        </w:rPr>
        <w:t>
      7) координацию деятельности дочерних организаций банка по вопросам управления комплаенс-риском, в том числе риском ОД/ФТ;</w:t>
      </w:r>
    </w:p>
    <w:bookmarkEnd w:id="1397"/>
    <w:bookmarkStart w:name="z1953" w:id="1398"/>
    <w:p>
      <w:pPr>
        <w:spacing w:after="0"/>
        <w:ind w:left="0"/>
        <w:jc w:val="both"/>
      </w:pPr>
      <w:r>
        <w:rPr>
          <w:rFonts w:ascii="Times New Roman"/>
          <w:b w:val="false"/>
          <w:i w:val="false"/>
          <w:color w:val="000000"/>
          <w:sz w:val="28"/>
        </w:rPr>
        <w:t>
      8) обязательное участие в процессе внедрения новых банковских продуктов и услуг;</w:t>
      </w:r>
    </w:p>
    <w:bookmarkEnd w:id="1398"/>
    <w:bookmarkStart w:name="z1954" w:id="1399"/>
    <w:p>
      <w:pPr>
        <w:spacing w:after="0"/>
        <w:ind w:left="0"/>
        <w:jc w:val="both"/>
      </w:pPr>
      <w:r>
        <w:rPr>
          <w:rFonts w:ascii="Times New Roman"/>
          <w:b w:val="false"/>
          <w:i w:val="false"/>
          <w:color w:val="000000"/>
          <w:sz w:val="28"/>
        </w:rPr>
        <w:t>
      9) обеспечение организации в банке мероприятий по выявлению, оценке и контролю конфликтов интересов;</w:t>
      </w:r>
    </w:p>
    <w:bookmarkEnd w:id="1399"/>
    <w:bookmarkStart w:name="z1955" w:id="1400"/>
    <w:p>
      <w:pPr>
        <w:spacing w:after="0"/>
        <w:ind w:left="0"/>
        <w:jc w:val="both"/>
      </w:pPr>
      <w:r>
        <w:rPr>
          <w:rFonts w:ascii="Times New Roman"/>
          <w:b w:val="false"/>
          <w:i w:val="false"/>
          <w:color w:val="000000"/>
          <w:sz w:val="28"/>
        </w:rPr>
        <w:t>
      10) разработку самостоятельно или совместно со структурными подразделениями и должностными лицами банка рекомендаций по устранению выявленных нарушений и недостатков в работе банка, связанных с управлением комплаенс-риском и представление соответствующей информации совету директоров банка;</w:t>
      </w:r>
    </w:p>
    <w:bookmarkEnd w:id="1400"/>
    <w:bookmarkStart w:name="z1956" w:id="1401"/>
    <w:p>
      <w:pPr>
        <w:spacing w:after="0"/>
        <w:ind w:left="0"/>
        <w:jc w:val="both"/>
      </w:pPr>
      <w:r>
        <w:rPr>
          <w:rFonts w:ascii="Times New Roman"/>
          <w:b w:val="false"/>
          <w:i w:val="false"/>
          <w:color w:val="000000"/>
          <w:sz w:val="28"/>
        </w:rPr>
        <w:t>
      11) разработку и ведение системы отчетности по комплаенс-риску и предоставление на периодической основе информации по вопросам управления комплаенс-риском банка совету директоров банка;</w:t>
      </w:r>
    </w:p>
    <w:bookmarkEnd w:id="1401"/>
    <w:bookmarkStart w:name="z1957" w:id="1402"/>
    <w:p>
      <w:pPr>
        <w:spacing w:after="0"/>
        <w:ind w:left="0"/>
        <w:jc w:val="both"/>
      </w:pPr>
      <w:r>
        <w:rPr>
          <w:rFonts w:ascii="Times New Roman"/>
          <w:b w:val="false"/>
          <w:i w:val="false"/>
          <w:color w:val="000000"/>
          <w:sz w:val="28"/>
        </w:rPr>
        <w:t>
      12) разработку внутреннего порядка взаимодействия и координации работы управлению комплаенс-риском со структурными подразделениями банка, в том числе с подразделением внутреннего аудита;</w:t>
      </w:r>
    </w:p>
    <w:bookmarkEnd w:id="1402"/>
    <w:bookmarkStart w:name="z1958" w:id="1403"/>
    <w:p>
      <w:pPr>
        <w:spacing w:after="0"/>
        <w:ind w:left="0"/>
        <w:jc w:val="both"/>
      </w:pPr>
      <w:r>
        <w:rPr>
          <w:rFonts w:ascii="Times New Roman"/>
          <w:b w:val="false"/>
          <w:i w:val="false"/>
          <w:color w:val="000000"/>
          <w:sz w:val="28"/>
        </w:rPr>
        <w:t>
      13) координацию работы по сбору количественных и качественных показателей для оценки риска вовлеченности банка рискам ОД/ФТ и передачу информации в уполномоченный орган ежегодно не позднее 5 февраля года, следующего за отчетным годом.</w:t>
      </w:r>
    </w:p>
    <w:bookmarkEnd w:id="1403"/>
    <w:bookmarkStart w:name="z1959" w:id="1404"/>
    <w:p>
      <w:pPr>
        <w:spacing w:after="0"/>
        <w:ind w:left="0"/>
        <w:jc w:val="both"/>
      </w:pPr>
      <w:r>
        <w:rPr>
          <w:rFonts w:ascii="Times New Roman"/>
          <w:b w:val="false"/>
          <w:i w:val="false"/>
          <w:color w:val="000000"/>
          <w:sz w:val="28"/>
        </w:rPr>
        <w:t>
      Отдельные функции управления комплаенс-риском в соответствии с внутренними документами банка делегируются при необходимости иным структурным подразделениям банка, при условии отсутствия конфликта интересов.</w:t>
      </w:r>
    </w:p>
    <w:bookmarkEnd w:id="1404"/>
    <w:bookmarkStart w:name="z1960" w:id="1405"/>
    <w:p>
      <w:pPr>
        <w:spacing w:after="0"/>
        <w:ind w:left="0"/>
        <w:jc w:val="both"/>
      </w:pPr>
      <w:r>
        <w:rPr>
          <w:rFonts w:ascii="Times New Roman"/>
          <w:b w:val="false"/>
          <w:i w:val="false"/>
          <w:color w:val="000000"/>
          <w:sz w:val="28"/>
        </w:rPr>
        <w:t>
      Положения подпунктов 1) и 8) настоящего пункта не распространяются на филиал банка-нерезидента Республики Казахстан.</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4" w:id="1406"/>
    <w:p>
      <w:pPr>
        <w:spacing w:after="0"/>
        <w:ind w:left="0"/>
        <w:jc w:val="both"/>
      </w:pPr>
      <w:r>
        <w:rPr>
          <w:rFonts w:ascii="Times New Roman"/>
          <w:b w:val="false"/>
          <w:i w:val="false"/>
          <w:color w:val="000000"/>
          <w:sz w:val="28"/>
        </w:rPr>
        <w:t>
      91. Независимость главного комплаенс-контролера определяется:</w:t>
      </w:r>
    </w:p>
    <w:bookmarkEnd w:id="1406"/>
    <w:bookmarkStart w:name="z1205" w:id="1407"/>
    <w:p>
      <w:pPr>
        <w:spacing w:after="0"/>
        <w:ind w:left="0"/>
        <w:jc w:val="both"/>
      </w:pPr>
      <w:r>
        <w:rPr>
          <w:rFonts w:ascii="Times New Roman"/>
          <w:b w:val="false"/>
          <w:i w:val="false"/>
          <w:color w:val="000000"/>
          <w:sz w:val="28"/>
        </w:rPr>
        <w:t>
      1) вне зависимости от подчинения, главный комплаенс-контролер назначается и освобождается от должности советом директоров банка;</w:t>
      </w:r>
    </w:p>
    <w:bookmarkEnd w:id="1407"/>
    <w:bookmarkStart w:name="z1206" w:id="1408"/>
    <w:p>
      <w:pPr>
        <w:spacing w:after="0"/>
        <w:ind w:left="0"/>
        <w:jc w:val="both"/>
      </w:pPr>
      <w:r>
        <w:rPr>
          <w:rFonts w:ascii="Times New Roman"/>
          <w:b w:val="false"/>
          <w:i w:val="false"/>
          <w:color w:val="000000"/>
          <w:sz w:val="28"/>
        </w:rPr>
        <w:t>
      2) имеет беспрепятственный доступ к совету директоров банка, без участия правления банка;</w:t>
      </w:r>
    </w:p>
    <w:bookmarkEnd w:id="1408"/>
    <w:bookmarkStart w:name="z1207" w:id="1409"/>
    <w:p>
      <w:pPr>
        <w:spacing w:after="0"/>
        <w:ind w:left="0"/>
        <w:jc w:val="both"/>
      </w:pPr>
      <w:r>
        <w:rPr>
          <w:rFonts w:ascii="Times New Roman"/>
          <w:b w:val="false"/>
          <w:i w:val="false"/>
          <w:color w:val="000000"/>
          <w:sz w:val="28"/>
        </w:rPr>
        <w:t>
      3) имеет доступ к любой информации, необходимой для выполнения им своих обязанностей;</w:t>
      </w:r>
    </w:p>
    <w:bookmarkEnd w:id="1409"/>
    <w:bookmarkStart w:name="z1208" w:id="1410"/>
    <w:p>
      <w:pPr>
        <w:spacing w:after="0"/>
        <w:ind w:left="0"/>
        <w:jc w:val="both"/>
      </w:pPr>
      <w:r>
        <w:rPr>
          <w:rFonts w:ascii="Times New Roman"/>
          <w:b w:val="false"/>
          <w:i w:val="false"/>
          <w:color w:val="000000"/>
          <w:sz w:val="28"/>
        </w:rPr>
        <w:t>
      4) не совмещает должность главного операционного директора, финансового директора, другие аналогичные функции операционной деятельности банка, руководителя подразделения внутреннего аудита.</w:t>
      </w:r>
    </w:p>
    <w:bookmarkEnd w:id="1410"/>
    <w:bookmarkStart w:name="z1209" w:id="1411"/>
    <w:p>
      <w:pPr>
        <w:spacing w:after="0"/>
        <w:ind w:left="0"/>
        <w:jc w:val="both"/>
      </w:pPr>
      <w:r>
        <w:rPr>
          <w:rFonts w:ascii="Times New Roman"/>
          <w:b w:val="false"/>
          <w:i w:val="false"/>
          <w:color w:val="000000"/>
          <w:sz w:val="28"/>
        </w:rPr>
        <w:t>
      Допускается совмещение функции главного комплаенс-контролера и руководителя подразделения по комплаенс-контролю.</w:t>
      </w:r>
    </w:p>
    <w:bookmarkEnd w:id="1411"/>
    <w:bookmarkStart w:name="z1210" w:id="1412"/>
    <w:p>
      <w:pPr>
        <w:spacing w:after="0"/>
        <w:ind w:left="0"/>
        <w:jc w:val="both"/>
      </w:pPr>
      <w:r>
        <w:rPr>
          <w:rFonts w:ascii="Times New Roman"/>
          <w:b w:val="false"/>
          <w:i w:val="false"/>
          <w:color w:val="000000"/>
          <w:sz w:val="28"/>
        </w:rPr>
        <w:t xml:space="preserve">
      Взаимодействие между главным комплаенс-контролером и советом директоров и (или) комитетом по вопросам управления рисками осуществляется на регулярной основе. </w:t>
      </w:r>
    </w:p>
    <w:bookmarkEnd w:id="1412"/>
    <w:bookmarkStart w:name="z1211" w:id="1413"/>
    <w:p>
      <w:pPr>
        <w:spacing w:after="0"/>
        <w:ind w:left="0"/>
        <w:jc w:val="both"/>
      </w:pPr>
      <w:r>
        <w:rPr>
          <w:rFonts w:ascii="Times New Roman"/>
          <w:b w:val="false"/>
          <w:i w:val="false"/>
          <w:color w:val="000000"/>
          <w:sz w:val="28"/>
        </w:rPr>
        <w:t>
      Информация о назначении и освобождении главного комплаенс-контролера от должности доводится до сведения уполномоченного органа.</w:t>
      </w:r>
    </w:p>
    <w:bookmarkEnd w:id="1413"/>
    <w:bookmarkStart w:name="z1212" w:id="1414"/>
    <w:p>
      <w:pPr>
        <w:spacing w:after="0"/>
        <w:ind w:left="0"/>
        <w:jc w:val="both"/>
      </w:pPr>
      <w:r>
        <w:rPr>
          <w:rFonts w:ascii="Times New Roman"/>
          <w:b w:val="false"/>
          <w:i w:val="false"/>
          <w:color w:val="000000"/>
          <w:sz w:val="28"/>
        </w:rPr>
        <w:t xml:space="preserve">
      По запросу уполномоченного органа совет директоров банка предоставляет обоснование причины принятия такого решения. </w:t>
      </w:r>
    </w:p>
    <w:bookmarkEnd w:id="1414"/>
    <w:bookmarkStart w:name="z1213" w:id="1415"/>
    <w:p>
      <w:pPr>
        <w:spacing w:after="0"/>
        <w:ind w:left="0"/>
        <w:jc w:val="both"/>
      </w:pPr>
      <w:r>
        <w:rPr>
          <w:rFonts w:ascii="Times New Roman"/>
          <w:b w:val="false"/>
          <w:i w:val="false"/>
          <w:color w:val="000000"/>
          <w:sz w:val="28"/>
        </w:rPr>
        <w:t>
      92. Банк выявляет, измеряет, осуществляет мониторинг и контроль за комплаенс-риском и разрабатывает процедуры управления комплаенс-риском, которые включают, но, не ограничиваясь, следующее:</w:t>
      </w:r>
    </w:p>
    <w:bookmarkEnd w:id="1415"/>
    <w:bookmarkStart w:name="z1214" w:id="1416"/>
    <w:p>
      <w:pPr>
        <w:spacing w:after="0"/>
        <w:ind w:left="0"/>
        <w:jc w:val="both"/>
      </w:pPr>
      <w:r>
        <w:rPr>
          <w:rFonts w:ascii="Times New Roman"/>
          <w:b w:val="false"/>
          <w:i w:val="false"/>
          <w:color w:val="000000"/>
          <w:sz w:val="28"/>
        </w:rPr>
        <w:t>
      1) разработку внутренних руководств (инструкций) для работников банка по вопросам управления комплаенс-риском, в том числе риском ОД/ФТ, посредством подготовки внутренних документов;</w:t>
      </w:r>
    </w:p>
    <w:bookmarkEnd w:id="1416"/>
    <w:bookmarkStart w:name="z1215" w:id="1417"/>
    <w:p>
      <w:pPr>
        <w:spacing w:after="0"/>
        <w:ind w:left="0"/>
        <w:jc w:val="both"/>
      </w:pPr>
      <w:r>
        <w:rPr>
          <w:rFonts w:ascii="Times New Roman"/>
          <w:b w:val="false"/>
          <w:i w:val="false"/>
          <w:color w:val="000000"/>
          <w:sz w:val="28"/>
        </w:rPr>
        <w:t>
      2) мониторинг соблюдения банком и его работниками политик и процедур управления комплаенс-риском;</w:t>
      </w:r>
    </w:p>
    <w:bookmarkEnd w:id="1417"/>
    <w:bookmarkStart w:name="z1216" w:id="1418"/>
    <w:p>
      <w:pPr>
        <w:spacing w:after="0"/>
        <w:ind w:left="0"/>
        <w:jc w:val="both"/>
      </w:pPr>
      <w:r>
        <w:rPr>
          <w:rFonts w:ascii="Times New Roman"/>
          <w:b w:val="false"/>
          <w:i w:val="false"/>
          <w:color w:val="000000"/>
          <w:sz w:val="28"/>
        </w:rPr>
        <w:t>
      3) сбор данных о событиях комплаенс-риска;</w:t>
      </w:r>
    </w:p>
    <w:bookmarkEnd w:id="1418"/>
    <w:bookmarkStart w:name="z1217" w:id="1419"/>
    <w:p>
      <w:pPr>
        <w:spacing w:after="0"/>
        <w:ind w:left="0"/>
        <w:jc w:val="both"/>
      </w:pPr>
      <w:r>
        <w:rPr>
          <w:rFonts w:ascii="Times New Roman"/>
          <w:b w:val="false"/>
          <w:i w:val="false"/>
          <w:color w:val="000000"/>
          <w:sz w:val="28"/>
        </w:rPr>
        <w:t>
      4) анализ жалоб (заявлений) клиентов на наличие комплаенс-риска;</w:t>
      </w:r>
    </w:p>
    <w:bookmarkEnd w:id="1419"/>
    <w:bookmarkStart w:name="z1218" w:id="1420"/>
    <w:p>
      <w:pPr>
        <w:spacing w:after="0"/>
        <w:ind w:left="0"/>
        <w:jc w:val="both"/>
      </w:pPr>
      <w:r>
        <w:rPr>
          <w:rFonts w:ascii="Times New Roman"/>
          <w:b w:val="false"/>
          <w:i w:val="false"/>
          <w:color w:val="000000"/>
          <w:sz w:val="28"/>
        </w:rPr>
        <w:t>
      5) разработку и анализ количественных и качественных показателей, характеризующих степень подверженности банка комплаенс-риску;</w:t>
      </w:r>
    </w:p>
    <w:bookmarkEnd w:id="1420"/>
    <w:bookmarkStart w:name="z1219" w:id="1421"/>
    <w:p>
      <w:pPr>
        <w:spacing w:after="0"/>
        <w:ind w:left="0"/>
        <w:jc w:val="both"/>
      </w:pPr>
      <w:r>
        <w:rPr>
          <w:rFonts w:ascii="Times New Roman"/>
          <w:b w:val="false"/>
          <w:i w:val="false"/>
          <w:color w:val="000000"/>
          <w:sz w:val="28"/>
        </w:rPr>
        <w:t>
      6) проведение расследований (проверок) самостоятельно или совместно со структурными подразделениями и (или) должностными лицами банка фактов нарушения работниками банка законодательства Республики Казахстан, регламентирующего вопросы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 согласно порядку, определенному внутренним документом банка;</w:t>
      </w:r>
    </w:p>
    <w:bookmarkEnd w:id="1421"/>
    <w:bookmarkStart w:name="z1220" w:id="1422"/>
    <w:p>
      <w:pPr>
        <w:spacing w:after="0"/>
        <w:ind w:left="0"/>
        <w:jc w:val="both"/>
      </w:pPr>
      <w:r>
        <w:rPr>
          <w:rFonts w:ascii="Times New Roman"/>
          <w:b w:val="false"/>
          <w:i w:val="false"/>
          <w:color w:val="000000"/>
          <w:sz w:val="28"/>
        </w:rPr>
        <w:t>
      7) предоставление консультаций по запросам относительно соответствия конкретной операции (сделки) банка или ее части законодательству Республики Казахстан, регламентирующему вопросы оказания банком услуг и проведения операций на финансовом рынке, а также законодательству иностранных государств, оказывающему влияние на деятельность банка.</w:t>
      </w:r>
    </w:p>
    <w:bookmarkEnd w:id="1422"/>
    <w:bookmarkStart w:name="z1221" w:id="1423"/>
    <w:p>
      <w:pPr>
        <w:spacing w:after="0"/>
        <w:ind w:left="0"/>
        <w:jc w:val="both"/>
      </w:pPr>
      <w:r>
        <w:rPr>
          <w:rFonts w:ascii="Times New Roman"/>
          <w:b w:val="false"/>
          <w:i w:val="false"/>
          <w:color w:val="000000"/>
          <w:sz w:val="28"/>
        </w:rPr>
        <w:t>
      93. При разработке процедур выявления, измерения мониторинга и контроля за комплаенс-риском банк учитывает, но, не ограничиваясь, следующими факторами:</w:t>
      </w:r>
    </w:p>
    <w:bookmarkEnd w:id="1423"/>
    <w:bookmarkStart w:name="z1222" w:id="1424"/>
    <w:p>
      <w:pPr>
        <w:spacing w:after="0"/>
        <w:ind w:left="0"/>
        <w:jc w:val="both"/>
      </w:pPr>
      <w:r>
        <w:rPr>
          <w:rFonts w:ascii="Times New Roman"/>
          <w:b w:val="false"/>
          <w:i w:val="false"/>
          <w:color w:val="000000"/>
          <w:sz w:val="28"/>
        </w:rPr>
        <w:t>
      1) объем активов, характер и сложность бизнеса банка;</w:t>
      </w:r>
    </w:p>
    <w:bookmarkEnd w:id="1424"/>
    <w:bookmarkStart w:name="z1223" w:id="1425"/>
    <w:p>
      <w:pPr>
        <w:spacing w:after="0"/>
        <w:ind w:left="0"/>
        <w:jc w:val="both"/>
      </w:pPr>
      <w:r>
        <w:rPr>
          <w:rFonts w:ascii="Times New Roman"/>
          <w:b w:val="false"/>
          <w:i w:val="false"/>
          <w:color w:val="000000"/>
          <w:sz w:val="28"/>
        </w:rPr>
        <w:t>
      2) доступность данных для использования в качестве исходной информации;</w:t>
      </w:r>
    </w:p>
    <w:bookmarkEnd w:id="1425"/>
    <w:bookmarkStart w:name="z1224" w:id="1426"/>
    <w:p>
      <w:pPr>
        <w:spacing w:after="0"/>
        <w:ind w:left="0"/>
        <w:jc w:val="both"/>
      </w:pPr>
      <w:r>
        <w:rPr>
          <w:rFonts w:ascii="Times New Roman"/>
          <w:b w:val="false"/>
          <w:i w:val="false"/>
          <w:color w:val="000000"/>
          <w:sz w:val="28"/>
        </w:rPr>
        <w:t>
      3) состояние информационных систем и их возможности;</w:t>
      </w:r>
    </w:p>
    <w:bookmarkEnd w:id="1426"/>
    <w:bookmarkStart w:name="z1225" w:id="1427"/>
    <w:p>
      <w:pPr>
        <w:spacing w:after="0"/>
        <w:ind w:left="0"/>
        <w:jc w:val="both"/>
      </w:pPr>
      <w:r>
        <w:rPr>
          <w:rFonts w:ascii="Times New Roman"/>
          <w:b w:val="false"/>
          <w:i w:val="false"/>
          <w:color w:val="000000"/>
          <w:sz w:val="28"/>
        </w:rPr>
        <w:t>
      4) квалификацию и опыт персонала, вовлеченного в процесс управления комплаенс-риском.</w:t>
      </w:r>
    </w:p>
    <w:bookmarkEnd w:id="1427"/>
    <w:bookmarkStart w:name="z1226" w:id="1428"/>
    <w:p>
      <w:pPr>
        <w:spacing w:after="0"/>
        <w:ind w:left="0"/>
        <w:jc w:val="both"/>
      </w:pPr>
      <w:r>
        <w:rPr>
          <w:rFonts w:ascii="Times New Roman"/>
          <w:b w:val="false"/>
          <w:i w:val="false"/>
          <w:color w:val="000000"/>
          <w:sz w:val="28"/>
        </w:rPr>
        <w:t>
      94. Банк обеспечивает наличие системы управления комплаенс-риском, которая учитывает:</w:t>
      </w:r>
    </w:p>
    <w:bookmarkEnd w:id="1428"/>
    <w:bookmarkStart w:name="z1227" w:id="1429"/>
    <w:p>
      <w:pPr>
        <w:spacing w:after="0"/>
        <w:ind w:left="0"/>
        <w:jc w:val="both"/>
      </w:pPr>
      <w:r>
        <w:rPr>
          <w:rFonts w:ascii="Times New Roman"/>
          <w:b w:val="false"/>
          <w:i w:val="false"/>
          <w:color w:val="000000"/>
          <w:sz w:val="28"/>
        </w:rPr>
        <w:t>
      1) стратегию банка и виды деятельности;</w:t>
      </w:r>
    </w:p>
    <w:bookmarkEnd w:id="1429"/>
    <w:bookmarkStart w:name="z1228" w:id="1430"/>
    <w:p>
      <w:pPr>
        <w:spacing w:after="0"/>
        <w:ind w:left="0"/>
        <w:jc w:val="both"/>
      </w:pPr>
      <w:r>
        <w:rPr>
          <w:rFonts w:ascii="Times New Roman"/>
          <w:b w:val="false"/>
          <w:i w:val="false"/>
          <w:color w:val="000000"/>
          <w:sz w:val="28"/>
        </w:rPr>
        <w:t>
      2) объем активов, характер и сложность бизнеса банка;</w:t>
      </w:r>
    </w:p>
    <w:bookmarkEnd w:id="1430"/>
    <w:bookmarkStart w:name="z1229" w:id="1431"/>
    <w:p>
      <w:pPr>
        <w:spacing w:after="0"/>
        <w:ind w:left="0"/>
        <w:jc w:val="both"/>
      </w:pPr>
      <w:r>
        <w:rPr>
          <w:rFonts w:ascii="Times New Roman"/>
          <w:b w:val="false"/>
          <w:i w:val="false"/>
          <w:color w:val="000000"/>
          <w:sz w:val="28"/>
        </w:rPr>
        <w:t>
      3) сложность организационной структуры банка;</w:t>
      </w:r>
    </w:p>
    <w:bookmarkEnd w:id="1431"/>
    <w:bookmarkStart w:name="z1230" w:id="1432"/>
    <w:p>
      <w:pPr>
        <w:spacing w:after="0"/>
        <w:ind w:left="0"/>
        <w:jc w:val="both"/>
      </w:pPr>
      <w:r>
        <w:rPr>
          <w:rFonts w:ascii="Times New Roman"/>
          <w:b w:val="false"/>
          <w:i w:val="false"/>
          <w:color w:val="000000"/>
          <w:sz w:val="28"/>
        </w:rPr>
        <w:t>
      4) уровень и виды рисков, присущих деятельности банка;</w:t>
      </w:r>
    </w:p>
    <w:bookmarkEnd w:id="1432"/>
    <w:bookmarkStart w:name="z1231" w:id="1433"/>
    <w:p>
      <w:pPr>
        <w:spacing w:after="0"/>
        <w:ind w:left="0"/>
        <w:jc w:val="both"/>
      </w:pPr>
      <w:r>
        <w:rPr>
          <w:rFonts w:ascii="Times New Roman"/>
          <w:b w:val="false"/>
          <w:i w:val="false"/>
          <w:color w:val="000000"/>
          <w:sz w:val="28"/>
        </w:rPr>
        <w:t>
      5) эффективность примененных банком в прошлом процедур управления комплаенс-риском;</w:t>
      </w:r>
    </w:p>
    <w:bookmarkEnd w:id="1433"/>
    <w:bookmarkStart w:name="z1232" w:id="1434"/>
    <w:p>
      <w:pPr>
        <w:spacing w:after="0"/>
        <w:ind w:left="0"/>
        <w:jc w:val="both"/>
      </w:pPr>
      <w:r>
        <w:rPr>
          <w:rFonts w:ascii="Times New Roman"/>
          <w:b w:val="false"/>
          <w:i w:val="false"/>
          <w:color w:val="000000"/>
          <w:sz w:val="28"/>
        </w:rPr>
        <w:t>
      6) потенциальные внутренние организационные изменения и (или) изменения рыночных условий;</w:t>
      </w:r>
    </w:p>
    <w:bookmarkEnd w:id="1434"/>
    <w:bookmarkStart w:name="z1233" w:id="1435"/>
    <w:p>
      <w:pPr>
        <w:spacing w:after="0"/>
        <w:ind w:left="0"/>
        <w:jc w:val="both"/>
      </w:pPr>
      <w:r>
        <w:rPr>
          <w:rFonts w:ascii="Times New Roman"/>
          <w:b w:val="false"/>
          <w:i w:val="false"/>
          <w:color w:val="000000"/>
          <w:sz w:val="28"/>
        </w:rPr>
        <w:t>
      7) законодательство Республики Казахстан, регламентирующее вопросы оказания банком услуг и проведения операций на финансовом рынке, а также законодательство иностранных государств, оказывающее влияние на деятельность банка.</w:t>
      </w:r>
    </w:p>
    <w:bookmarkEnd w:id="1435"/>
    <w:bookmarkStart w:name="z1234" w:id="1436"/>
    <w:p>
      <w:pPr>
        <w:spacing w:after="0"/>
        <w:ind w:left="0"/>
        <w:jc w:val="both"/>
      </w:pPr>
      <w:r>
        <w:rPr>
          <w:rFonts w:ascii="Times New Roman"/>
          <w:b w:val="false"/>
          <w:i w:val="false"/>
          <w:color w:val="000000"/>
          <w:sz w:val="28"/>
        </w:rPr>
        <w:t>
      95. Система управления комплаенс-риском включает, но, не ограничиваясь, следующее:</w:t>
      </w:r>
    </w:p>
    <w:bookmarkEnd w:id="1436"/>
    <w:bookmarkStart w:name="z1235" w:id="1437"/>
    <w:p>
      <w:pPr>
        <w:spacing w:after="0"/>
        <w:ind w:left="0"/>
        <w:jc w:val="both"/>
      </w:pPr>
      <w:r>
        <w:rPr>
          <w:rFonts w:ascii="Times New Roman"/>
          <w:b w:val="false"/>
          <w:i w:val="false"/>
          <w:color w:val="000000"/>
          <w:sz w:val="28"/>
        </w:rPr>
        <w:t>
      1) политику и процедуры управления комплаенс-риском;</w:t>
      </w:r>
    </w:p>
    <w:bookmarkEnd w:id="1437"/>
    <w:bookmarkStart w:name="z1236" w:id="1438"/>
    <w:p>
      <w:pPr>
        <w:spacing w:after="0"/>
        <w:ind w:left="0"/>
        <w:jc w:val="both"/>
      </w:pPr>
      <w:r>
        <w:rPr>
          <w:rFonts w:ascii="Times New Roman"/>
          <w:b w:val="false"/>
          <w:i w:val="false"/>
          <w:color w:val="000000"/>
          <w:sz w:val="28"/>
        </w:rPr>
        <w:t>
      2) политику и процедуры управления риском ОД/ФТ, в том числе включающую программу принятия и обслуживания клиентов (customer acceptance policy). Банк при разработке и реализации процедур принятия решения о приеме клиента на обслуживание учитывает присущие факторы риска;</w:t>
      </w:r>
    </w:p>
    <w:bookmarkEnd w:id="1438"/>
    <w:bookmarkStart w:name="z1237" w:id="1439"/>
    <w:p>
      <w:pPr>
        <w:spacing w:after="0"/>
        <w:ind w:left="0"/>
        <w:jc w:val="both"/>
      </w:pPr>
      <w:r>
        <w:rPr>
          <w:rFonts w:ascii="Times New Roman"/>
          <w:b w:val="false"/>
          <w:i w:val="false"/>
          <w:color w:val="000000"/>
          <w:sz w:val="28"/>
        </w:rPr>
        <w:t>
      3) оценку эффективности системы управления комплаенс-риском подразделением внутреннего аудита.</w:t>
      </w:r>
    </w:p>
    <w:bookmarkEnd w:id="1439"/>
    <w:bookmarkStart w:name="z1238" w:id="1440"/>
    <w:p>
      <w:pPr>
        <w:spacing w:after="0"/>
        <w:ind w:left="0"/>
        <w:jc w:val="both"/>
      </w:pPr>
      <w:r>
        <w:rPr>
          <w:rFonts w:ascii="Times New Roman"/>
          <w:b w:val="false"/>
          <w:i w:val="false"/>
          <w:color w:val="000000"/>
          <w:sz w:val="28"/>
        </w:rPr>
        <w:t xml:space="preserve">
      Система управления комплаенс-риском основывается на 3 (трех) линиях защиты: </w:t>
      </w:r>
    </w:p>
    <w:bookmarkEnd w:id="1440"/>
    <w:bookmarkStart w:name="z1239" w:id="1441"/>
    <w:p>
      <w:pPr>
        <w:spacing w:after="0"/>
        <w:ind w:left="0"/>
        <w:jc w:val="both"/>
      </w:pPr>
      <w:r>
        <w:rPr>
          <w:rFonts w:ascii="Times New Roman"/>
          <w:b w:val="false"/>
          <w:i w:val="false"/>
          <w:color w:val="000000"/>
          <w:sz w:val="28"/>
        </w:rPr>
        <w:t xml:space="preserve">
      работники банка; </w:t>
      </w:r>
    </w:p>
    <w:bookmarkEnd w:id="1441"/>
    <w:bookmarkStart w:name="z1240" w:id="1442"/>
    <w:p>
      <w:pPr>
        <w:spacing w:after="0"/>
        <w:ind w:left="0"/>
        <w:jc w:val="both"/>
      </w:pPr>
      <w:r>
        <w:rPr>
          <w:rFonts w:ascii="Times New Roman"/>
          <w:b w:val="false"/>
          <w:i w:val="false"/>
          <w:color w:val="000000"/>
          <w:sz w:val="28"/>
        </w:rPr>
        <w:t xml:space="preserve">
      подразделение по комплаенс-контролю; </w:t>
      </w:r>
    </w:p>
    <w:bookmarkEnd w:id="1442"/>
    <w:bookmarkStart w:name="z1241" w:id="1443"/>
    <w:p>
      <w:pPr>
        <w:spacing w:after="0"/>
        <w:ind w:left="0"/>
        <w:jc w:val="both"/>
      </w:pPr>
      <w:r>
        <w:rPr>
          <w:rFonts w:ascii="Times New Roman"/>
          <w:b w:val="false"/>
          <w:i w:val="false"/>
          <w:color w:val="000000"/>
          <w:sz w:val="28"/>
        </w:rPr>
        <w:t>
      подразделение внутреннего аудита.</w:t>
      </w:r>
    </w:p>
    <w:bookmarkEnd w:id="1443"/>
    <w:bookmarkStart w:name="z1242" w:id="1444"/>
    <w:p>
      <w:pPr>
        <w:spacing w:after="0"/>
        <w:ind w:left="0"/>
        <w:jc w:val="both"/>
      </w:pPr>
      <w:r>
        <w:rPr>
          <w:rFonts w:ascii="Times New Roman"/>
          <w:b w:val="false"/>
          <w:i w:val="false"/>
          <w:color w:val="000000"/>
          <w:sz w:val="28"/>
        </w:rPr>
        <w:t>
      96. Политика и процедуры управления комплаенс-риском включают, но, не ограничиваясь, следующее:</w:t>
      </w:r>
    </w:p>
    <w:bookmarkEnd w:id="1444"/>
    <w:bookmarkStart w:name="z1243" w:id="1445"/>
    <w:p>
      <w:pPr>
        <w:spacing w:after="0"/>
        <w:ind w:left="0"/>
        <w:jc w:val="both"/>
      </w:pPr>
      <w:r>
        <w:rPr>
          <w:rFonts w:ascii="Times New Roman"/>
          <w:b w:val="false"/>
          <w:i w:val="false"/>
          <w:color w:val="000000"/>
          <w:sz w:val="28"/>
        </w:rPr>
        <w:t>
      1) цели и задачи управления комплаенс-риском;</w:t>
      </w:r>
    </w:p>
    <w:bookmarkEnd w:id="1445"/>
    <w:bookmarkStart w:name="z1244" w:id="1446"/>
    <w:p>
      <w:pPr>
        <w:spacing w:after="0"/>
        <w:ind w:left="0"/>
        <w:jc w:val="both"/>
      </w:pPr>
      <w:r>
        <w:rPr>
          <w:rFonts w:ascii="Times New Roman"/>
          <w:b w:val="false"/>
          <w:i w:val="false"/>
          <w:color w:val="000000"/>
          <w:sz w:val="28"/>
        </w:rPr>
        <w:t>
      2) принципы управления комплаенс-риском, в том числе принципы создания комплаенс-культуры в банке (культуры 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и внутренних документов банка, регламентирующих процедуры оказания банком услуг и проведения операций на финансовом рынке);</w:t>
      </w:r>
    </w:p>
    <w:bookmarkEnd w:id="1446"/>
    <w:bookmarkStart w:name="z1245" w:id="1447"/>
    <w:p>
      <w:pPr>
        <w:spacing w:after="0"/>
        <w:ind w:left="0"/>
        <w:jc w:val="both"/>
      </w:pPr>
      <w:r>
        <w:rPr>
          <w:rFonts w:ascii="Times New Roman"/>
          <w:b w:val="false"/>
          <w:i w:val="false"/>
          <w:color w:val="000000"/>
          <w:sz w:val="28"/>
        </w:rPr>
        <w:t>
      3) внутренний порядок, способы и процедуры управления комплаенс-риском, в том числе основанных на риск-ориентированном подходе;</w:t>
      </w:r>
    </w:p>
    <w:bookmarkEnd w:id="1447"/>
    <w:bookmarkStart w:name="z1246" w:id="1448"/>
    <w:p>
      <w:pPr>
        <w:spacing w:after="0"/>
        <w:ind w:left="0"/>
        <w:jc w:val="both"/>
      </w:pPr>
      <w:r>
        <w:rPr>
          <w:rFonts w:ascii="Times New Roman"/>
          <w:b w:val="false"/>
          <w:i w:val="false"/>
          <w:color w:val="000000"/>
          <w:sz w:val="28"/>
        </w:rPr>
        <w:t>
      4) внутренний порядок, способы и процедуры управления рисками преднамеренного или непреднамеренного вовлечения банка и (или) его дочерних организаций в процессы ОД/ФТ, или иную преступную деятельность (риск ОД/ФТ);</w:t>
      </w:r>
    </w:p>
    <w:bookmarkEnd w:id="1448"/>
    <w:bookmarkStart w:name="z1247" w:id="1449"/>
    <w:p>
      <w:pPr>
        <w:spacing w:after="0"/>
        <w:ind w:left="0"/>
        <w:jc w:val="both"/>
      </w:pPr>
      <w:r>
        <w:rPr>
          <w:rFonts w:ascii="Times New Roman"/>
          <w:b w:val="false"/>
          <w:i w:val="false"/>
          <w:color w:val="000000"/>
          <w:sz w:val="28"/>
        </w:rPr>
        <w:t>
      5) участников системы управления комплаенс-риском на основе 3 (трех) линий защиты, их полномочия, ответственность с четким определением структуры подотчетности;</w:t>
      </w:r>
    </w:p>
    <w:bookmarkEnd w:id="1449"/>
    <w:bookmarkStart w:name="z1248" w:id="1450"/>
    <w:p>
      <w:pPr>
        <w:spacing w:after="0"/>
        <w:ind w:left="0"/>
        <w:jc w:val="both"/>
      </w:pPr>
      <w:r>
        <w:rPr>
          <w:rFonts w:ascii="Times New Roman"/>
          <w:b w:val="false"/>
          <w:i w:val="false"/>
          <w:color w:val="000000"/>
          <w:sz w:val="28"/>
        </w:rPr>
        <w:t>
      6) полномочия и ответственность главного комплаенс-контролера, руководителя подразделения по комплаенс-контролю;</w:t>
      </w:r>
    </w:p>
    <w:bookmarkEnd w:id="1450"/>
    <w:bookmarkStart w:name="z1249" w:id="1451"/>
    <w:p>
      <w:pPr>
        <w:spacing w:after="0"/>
        <w:ind w:left="0"/>
        <w:jc w:val="both"/>
      </w:pPr>
      <w:r>
        <w:rPr>
          <w:rFonts w:ascii="Times New Roman"/>
          <w:b w:val="false"/>
          <w:i w:val="false"/>
          <w:color w:val="000000"/>
          <w:sz w:val="28"/>
        </w:rPr>
        <w:t>
      7) требования к профессиональным качествам работников подразделения по комплаенс-контролю;</w:t>
      </w:r>
    </w:p>
    <w:bookmarkEnd w:id="1451"/>
    <w:bookmarkStart w:name="z1250" w:id="1452"/>
    <w:p>
      <w:pPr>
        <w:spacing w:after="0"/>
        <w:ind w:left="0"/>
        <w:jc w:val="both"/>
      </w:pPr>
      <w:r>
        <w:rPr>
          <w:rFonts w:ascii="Times New Roman"/>
          <w:b w:val="false"/>
          <w:i w:val="false"/>
          <w:color w:val="000000"/>
          <w:sz w:val="28"/>
        </w:rPr>
        <w:t>
      8) процедуры контроля и координации деятельности дочерних организаций банка по вопросам управления комплаенс-риском;</w:t>
      </w:r>
    </w:p>
    <w:bookmarkEnd w:id="1452"/>
    <w:bookmarkStart w:name="z1251" w:id="1453"/>
    <w:p>
      <w:pPr>
        <w:spacing w:after="0"/>
        <w:ind w:left="0"/>
        <w:jc w:val="both"/>
      </w:pPr>
      <w:r>
        <w:rPr>
          <w:rFonts w:ascii="Times New Roman"/>
          <w:b w:val="false"/>
          <w:i w:val="false"/>
          <w:color w:val="000000"/>
          <w:sz w:val="28"/>
        </w:rPr>
        <w:t>
      9) внутренний порядок взаимодействия и обмена информацией между участниками системы управления комплаенс-риском.</w:t>
      </w:r>
    </w:p>
    <w:bookmarkEnd w:id="1453"/>
    <w:bookmarkStart w:name="z1252" w:id="1454"/>
    <w:p>
      <w:pPr>
        <w:spacing w:after="0"/>
        <w:ind w:left="0"/>
        <w:jc w:val="both"/>
      </w:pPr>
      <w:r>
        <w:rPr>
          <w:rFonts w:ascii="Times New Roman"/>
          <w:b w:val="false"/>
          <w:i w:val="false"/>
          <w:color w:val="000000"/>
          <w:sz w:val="28"/>
        </w:rPr>
        <w:t>
      97. Политика и процедуры управления риском ОД/ФТ включают, но, не ограничиваясь, следующее:</w:t>
      </w:r>
    </w:p>
    <w:bookmarkEnd w:id="1454"/>
    <w:bookmarkStart w:name="z4405" w:id="1455"/>
    <w:p>
      <w:pPr>
        <w:spacing w:after="0"/>
        <w:ind w:left="0"/>
        <w:jc w:val="both"/>
      </w:pPr>
      <w:r>
        <w:rPr>
          <w:rFonts w:ascii="Times New Roman"/>
          <w:b w:val="false"/>
          <w:i w:val="false"/>
          <w:color w:val="000000"/>
          <w:sz w:val="28"/>
        </w:rPr>
        <w:t>
      1) разработку и исполнение внутренних документов, регламентирующих порядок управления риском ОД/ФТ, осуществления финансового мониторинга и внутреннего контроля в целях противодействия ОД/ФТ;</w:t>
      </w:r>
    </w:p>
    <w:bookmarkEnd w:id="1455"/>
    <w:bookmarkStart w:name="z4406" w:id="1456"/>
    <w:p>
      <w:pPr>
        <w:spacing w:after="0"/>
        <w:ind w:left="0"/>
        <w:jc w:val="both"/>
      </w:pPr>
      <w:r>
        <w:rPr>
          <w:rFonts w:ascii="Times New Roman"/>
          <w:b w:val="false"/>
          <w:i w:val="false"/>
          <w:color w:val="000000"/>
          <w:sz w:val="28"/>
        </w:rPr>
        <w:t>
      2) методику оценки рисков ОД/ФТ в соответствии с правилами банка по внутреннему контролю для целей противодействия ОД/ФТ;</w:t>
      </w:r>
    </w:p>
    <w:bookmarkEnd w:id="1456"/>
    <w:bookmarkStart w:name="z4407" w:id="1457"/>
    <w:p>
      <w:pPr>
        <w:spacing w:after="0"/>
        <w:ind w:left="0"/>
        <w:jc w:val="both"/>
      </w:pPr>
      <w:r>
        <w:rPr>
          <w:rFonts w:ascii="Times New Roman"/>
          <w:b w:val="false"/>
          <w:i w:val="false"/>
          <w:color w:val="000000"/>
          <w:sz w:val="28"/>
        </w:rPr>
        <w:t>
      3) внутренний порядок организации управления рисками банка в разрезе его структурных подразделений и (или) работников в части ОД/ФТ;</w:t>
      </w:r>
    </w:p>
    <w:bookmarkEnd w:id="1457"/>
    <w:bookmarkStart w:name="z4408" w:id="1458"/>
    <w:p>
      <w:pPr>
        <w:spacing w:after="0"/>
        <w:ind w:left="0"/>
        <w:jc w:val="both"/>
      </w:pPr>
      <w:r>
        <w:rPr>
          <w:rFonts w:ascii="Times New Roman"/>
          <w:b w:val="false"/>
          <w:i w:val="false"/>
          <w:color w:val="000000"/>
          <w:sz w:val="28"/>
        </w:rPr>
        <w:t>
      4) наличие программы принятия и обслуживания клиентов (customer acceptance policy);</w:t>
      </w:r>
    </w:p>
    <w:bookmarkEnd w:id="1458"/>
    <w:bookmarkStart w:name="z4409" w:id="1459"/>
    <w:p>
      <w:pPr>
        <w:spacing w:after="0"/>
        <w:ind w:left="0"/>
        <w:jc w:val="both"/>
      </w:pPr>
      <w:r>
        <w:rPr>
          <w:rFonts w:ascii="Times New Roman"/>
          <w:b w:val="false"/>
          <w:i w:val="false"/>
          <w:color w:val="000000"/>
          <w:sz w:val="28"/>
        </w:rPr>
        <w:t>
      5) банк при разработке и реализации процедур принятия решения о приеме клиента на обслуживание учитывает факторы риска, в том числе выявленные и размещенные на интернет-ресурсе уполномоченного органа.</w:t>
      </w:r>
    </w:p>
    <w:bookmarkEnd w:id="1459"/>
    <w:bookmarkStart w:name="z4410" w:id="1460"/>
    <w:p>
      <w:pPr>
        <w:spacing w:after="0"/>
        <w:ind w:left="0"/>
        <w:jc w:val="both"/>
      </w:pPr>
      <w:r>
        <w:rPr>
          <w:rFonts w:ascii="Times New Roman"/>
          <w:b w:val="false"/>
          <w:i w:val="false"/>
          <w:color w:val="000000"/>
          <w:sz w:val="28"/>
        </w:rPr>
        <w:t>
      Внутренние процедуры и порядок отказа от установления и прекращения деловых отношений с клиентом разрабатываются с учетом факторов риска, размещенных на интернет-ресурсе уполномоченного органа. Информация о фактах отказа в установлении и прекращения деловых отношений направляется в уполномоченный орган ежеквартально, не позднее 5 (пятого) числа месяца следующего за отчетным кварталом;</w:t>
      </w:r>
    </w:p>
    <w:bookmarkEnd w:id="1460"/>
    <w:bookmarkStart w:name="z4411" w:id="1461"/>
    <w:p>
      <w:pPr>
        <w:spacing w:after="0"/>
        <w:ind w:left="0"/>
        <w:jc w:val="both"/>
      </w:pPr>
      <w:r>
        <w:rPr>
          <w:rFonts w:ascii="Times New Roman"/>
          <w:b w:val="false"/>
          <w:i w:val="false"/>
          <w:color w:val="000000"/>
          <w:sz w:val="28"/>
        </w:rPr>
        <w:t>
      6) наличие автоматизированной информационной системы и процедур, которые позволяют выявлять операции, подлежащие финансовому мониторингу, а также позволяют своевременно направлять соответствующие сведения и информацию в уполномоченный орган по финансовому мониторингу.</w:t>
      </w:r>
    </w:p>
    <w:bookmarkEnd w:id="1461"/>
    <w:bookmarkStart w:name="z6071" w:id="1462"/>
    <w:p>
      <w:pPr>
        <w:spacing w:after="0"/>
        <w:ind w:left="0"/>
        <w:jc w:val="both"/>
      </w:pPr>
      <w:r>
        <w:rPr>
          <w:rFonts w:ascii="Times New Roman"/>
          <w:b w:val="false"/>
          <w:i w:val="false"/>
          <w:color w:val="000000"/>
          <w:sz w:val="28"/>
        </w:rPr>
        <w:t>
      Автоматизированная информационная система и процедуры банка, указанные в подпункте 6) части первой настоящего пункта, дополнительно обеспечивают выявление операций, имеющие характеристики, соответствующие типологиям, схемам и способам легализации (отмывания) преступных доходов и финансирования терроризма, утвержденным государственным органом, осуществляющим финансовый мониторинг, связанных с:</w:t>
      </w:r>
    </w:p>
    <w:bookmarkEnd w:id="1462"/>
    <w:bookmarkStart w:name="z6072" w:id="1463"/>
    <w:p>
      <w:pPr>
        <w:spacing w:after="0"/>
        <w:ind w:left="0"/>
        <w:jc w:val="both"/>
      </w:pPr>
      <w:r>
        <w:rPr>
          <w:rFonts w:ascii="Times New Roman"/>
          <w:b w:val="false"/>
          <w:i w:val="false"/>
          <w:color w:val="000000"/>
          <w:sz w:val="28"/>
        </w:rPr>
        <w:t>
      1) незаконным производством, оборотом и (или) транзитом наркотиков;</w:t>
      </w:r>
    </w:p>
    <w:bookmarkEnd w:id="1463"/>
    <w:bookmarkStart w:name="z6073" w:id="1464"/>
    <w:p>
      <w:pPr>
        <w:spacing w:after="0"/>
        <w:ind w:left="0"/>
        <w:jc w:val="both"/>
      </w:pPr>
      <w:r>
        <w:rPr>
          <w:rFonts w:ascii="Times New Roman"/>
          <w:b w:val="false"/>
          <w:i w:val="false"/>
          <w:color w:val="000000"/>
          <w:sz w:val="28"/>
        </w:rPr>
        <w:t>
      2) осуществлением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464"/>
    <w:bookmarkStart w:name="z6074" w:id="1465"/>
    <w:p>
      <w:pPr>
        <w:spacing w:after="0"/>
        <w:ind w:left="0"/>
        <w:jc w:val="both"/>
      </w:pPr>
      <w:r>
        <w:rPr>
          <w:rFonts w:ascii="Times New Roman"/>
          <w:b w:val="false"/>
          <w:i w:val="false"/>
          <w:color w:val="000000"/>
          <w:sz w:val="28"/>
        </w:rPr>
        <w:t>
      3) осуществлением платежей и (или) переводов денег в пользу электронного казино и интернет-казино.</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постановления Правления Агентства РК по регулированию и развитию финансового рынка от 31.12.2024 </w:t>
      </w:r>
      <w:r>
        <w:rPr>
          <w:rFonts w:ascii="Times New Roman"/>
          <w:b w:val="false"/>
          <w:i w:val="false"/>
          <w:color w:val="000000"/>
          <w:sz w:val="28"/>
        </w:rPr>
        <w:t>№ 96</w:t>
      </w:r>
      <w:r>
        <w:rPr>
          <w:rFonts w:ascii="Times New Roman"/>
          <w:b w:val="false"/>
          <w:i w:val="false"/>
          <w:color w:val="ff0000"/>
          <w:sz w:val="28"/>
        </w:rPr>
        <w:t xml:space="preserve"> (порядок введения в действие см. п.</w:t>
      </w:r>
      <w:r>
        <w:rPr>
          <w:rFonts w:ascii="Times New Roman"/>
          <w:b w:val="false"/>
          <w:i w:val="false"/>
          <w:color w:val="000000"/>
          <w:sz w:val="28"/>
        </w:rPr>
        <w:t>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главой 10-1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1260" w:id="1466"/>
    <w:p>
      <w:pPr>
        <w:spacing w:after="0"/>
        <w:ind w:left="0"/>
        <w:jc w:val="left"/>
      </w:pPr>
      <w:r>
        <w:rPr>
          <w:rFonts w:ascii="Times New Roman"/>
          <w:b/>
          <w:i w:val="false"/>
          <w:color w:val="000000"/>
        </w:rPr>
        <w:t xml:space="preserve"> Глава 11. Внутренний контроль</w:t>
      </w:r>
    </w:p>
    <w:bookmarkEnd w:id="1466"/>
    <w:bookmarkStart w:name="z1261" w:id="1467"/>
    <w:p>
      <w:pPr>
        <w:spacing w:after="0"/>
        <w:ind w:left="0"/>
        <w:jc w:val="both"/>
      </w:pPr>
      <w:r>
        <w:rPr>
          <w:rFonts w:ascii="Times New Roman"/>
          <w:b w:val="false"/>
          <w:i w:val="false"/>
          <w:color w:val="000000"/>
          <w:sz w:val="28"/>
        </w:rPr>
        <w:t>
      98.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bookmarkEnd w:id="1467"/>
    <w:bookmarkStart w:name="z4413" w:id="1468"/>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bookmarkEnd w:id="1468"/>
    <w:bookmarkStart w:name="z4414" w:id="1469"/>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1469"/>
    <w:bookmarkStart w:name="z4415" w:id="1470"/>
    <w:p>
      <w:pPr>
        <w:spacing w:after="0"/>
        <w:ind w:left="0"/>
        <w:jc w:val="both"/>
      </w:pPr>
      <w:r>
        <w:rPr>
          <w:rFonts w:ascii="Times New Roman"/>
          <w:b w:val="false"/>
          <w:i w:val="false"/>
          <w:color w:val="000000"/>
          <w:sz w:val="28"/>
        </w:rPr>
        <w:t>
      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1470"/>
    <w:bookmarkStart w:name="z4416" w:id="1471"/>
    <w:p>
      <w:pPr>
        <w:spacing w:after="0"/>
        <w:ind w:left="0"/>
        <w:jc w:val="both"/>
      </w:pPr>
      <w:r>
        <w:rPr>
          <w:rFonts w:ascii="Times New Roman"/>
          <w:b w:val="false"/>
          <w:i w:val="false"/>
          <w:color w:val="000000"/>
          <w:sz w:val="28"/>
        </w:rPr>
        <w:t>
      4) недопущение вовлечения банка и его работников, клиентов банка:</w:t>
      </w:r>
    </w:p>
    <w:bookmarkEnd w:id="1471"/>
    <w:bookmarkStart w:name="z4417" w:id="1472"/>
    <w:p>
      <w:pPr>
        <w:spacing w:after="0"/>
        <w:ind w:left="0"/>
        <w:jc w:val="both"/>
      </w:pPr>
      <w:r>
        <w:rPr>
          <w:rFonts w:ascii="Times New Roman"/>
          <w:b w:val="false"/>
          <w:i w:val="false"/>
          <w:color w:val="000000"/>
          <w:sz w:val="28"/>
        </w:rPr>
        <w:t>
      в осуществление противоправной деятельности, в том числе мошенничества, обмана, ОД/ФТ, незаконного производства, оборота и (или) транзита наркотиков;</w:t>
      </w:r>
    </w:p>
    <w:bookmarkEnd w:id="1472"/>
    <w:bookmarkStart w:name="z4418" w:id="1473"/>
    <w:p>
      <w:pPr>
        <w:spacing w:after="0"/>
        <w:ind w:left="0"/>
        <w:jc w:val="both"/>
      </w:pPr>
      <w:r>
        <w:rPr>
          <w:rFonts w:ascii="Times New Roman"/>
          <w:b w:val="false"/>
          <w:i w:val="false"/>
          <w:color w:val="000000"/>
          <w:sz w:val="28"/>
        </w:rPr>
        <w:t>
      в осуществление операций, связанных с проведением операций, имеющих высокий риск ОД/ФТ;</w:t>
      </w:r>
    </w:p>
    <w:bookmarkEnd w:id="1473"/>
    <w:bookmarkStart w:name="z4419" w:id="1474"/>
    <w:p>
      <w:pPr>
        <w:spacing w:after="0"/>
        <w:ind w:left="0"/>
        <w:jc w:val="both"/>
      </w:pPr>
      <w:r>
        <w:rPr>
          <w:rFonts w:ascii="Times New Roman"/>
          <w:b w:val="false"/>
          <w:i w:val="false"/>
          <w:color w:val="000000"/>
          <w:sz w:val="28"/>
        </w:rPr>
        <w:t>
      в осуществление операций, связанных с дальнейшим приобретением необеспеченных цифровых активов на биржах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474"/>
    <w:bookmarkStart w:name="z4420" w:id="1475"/>
    <w:p>
      <w:pPr>
        <w:spacing w:after="0"/>
        <w:ind w:left="0"/>
        <w:jc w:val="both"/>
      </w:pPr>
      <w:r>
        <w:rPr>
          <w:rFonts w:ascii="Times New Roman"/>
          <w:b w:val="false"/>
          <w:i w:val="false"/>
          <w:color w:val="000000"/>
          <w:sz w:val="28"/>
        </w:rPr>
        <w:t>
      в осуществление платежей и (или) переводов денег в пользу электронного казино и интернет-казино;</w:t>
      </w:r>
    </w:p>
    <w:bookmarkEnd w:id="1475"/>
    <w:bookmarkStart w:name="z4421" w:id="1476"/>
    <w:p>
      <w:pPr>
        <w:spacing w:after="0"/>
        <w:ind w:left="0"/>
        <w:jc w:val="both"/>
      </w:pPr>
      <w:r>
        <w:rPr>
          <w:rFonts w:ascii="Times New Roman"/>
          <w:b w:val="false"/>
          <w:i w:val="false"/>
          <w:color w:val="000000"/>
          <w:sz w:val="28"/>
        </w:rPr>
        <w:t>
      в осуществление платежей и (или) переводов денег физическими лицами, не достигшими возраста двадцати одного года, в пользу организатора игорного бизнеса.</w:t>
      </w:r>
    </w:p>
    <w:bookmarkEnd w:id="1476"/>
    <w:bookmarkStart w:name="z4422" w:id="1477"/>
    <w:p>
      <w:pPr>
        <w:spacing w:after="0"/>
        <w:ind w:left="0"/>
        <w:jc w:val="both"/>
      </w:pPr>
      <w:r>
        <w:rPr>
          <w:rFonts w:ascii="Times New Roman"/>
          <w:b w:val="false"/>
          <w:i w:val="false"/>
          <w:color w:val="000000"/>
          <w:sz w:val="28"/>
        </w:rPr>
        <w:t>
      Банк осуществляет оценку риска ОД/ФТ в случае наличия подозрений о том, что деловые отношения используются клиентом в целях незаконного производства, оборота и (или) транзита наркотиков, а также в отношении клиентов, являющихся:</w:t>
      </w:r>
    </w:p>
    <w:bookmarkEnd w:id="1477"/>
    <w:bookmarkStart w:name="z4423" w:id="1478"/>
    <w:p>
      <w:pPr>
        <w:spacing w:after="0"/>
        <w:ind w:left="0"/>
        <w:jc w:val="both"/>
      </w:pPr>
      <w:r>
        <w:rPr>
          <w:rFonts w:ascii="Times New Roman"/>
          <w:b w:val="false"/>
          <w:i w:val="false"/>
          <w:color w:val="000000"/>
          <w:sz w:val="28"/>
        </w:rPr>
        <w:t>
      1) держателями более пяти платежных карточек, выпущенных одним банком,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bookmarkEnd w:id="1478"/>
    <w:bookmarkStart w:name="z4424" w:id="1479"/>
    <w:p>
      <w:pPr>
        <w:spacing w:after="0"/>
        <w:ind w:left="0"/>
        <w:jc w:val="both"/>
      </w:pPr>
      <w:r>
        <w:rPr>
          <w:rFonts w:ascii="Times New Roman"/>
          <w:b w:val="false"/>
          <w:i w:val="false"/>
          <w:color w:val="000000"/>
          <w:sz w:val="28"/>
        </w:rPr>
        <w:t>
      2) держателями платежных карточек, выпущенных тремя банками более трех платежных карточек каждым банком на одного клиента (при наличии у банка таких сведений),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bookmarkEnd w:id="1479"/>
    <w:bookmarkStart w:name="z4425" w:id="1480"/>
    <w:p>
      <w:pPr>
        <w:spacing w:after="0"/>
        <w:ind w:left="0"/>
        <w:jc w:val="both"/>
      </w:pPr>
      <w:r>
        <w:rPr>
          <w:rFonts w:ascii="Times New Roman"/>
          <w:b w:val="false"/>
          <w:i w:val="false"/>
          <w:color w:val="000000"/>
          <w:sz w:val="28"/>
        </w:rPr>
        <w:t>
      3) резидентами стран с высоким риском ОД/ФТ на основе фактора незаконного производства, оборота и (или) транзита наркотиков, за исключением стран Евразийского экономического союза;</w:t>
      </w:r>
    </w:p>
    <w:bookmarkEnd w:id="1480"/>
    <w:bookmarkStart w:name="z4426" w:id="1481"/>
    <w:p>
      <w:pPr>
        <w:spacing w:after="0"/>
        <w:ind w:left="0"/>
        <w:jc w:val="both"/>
      </w:pPr>
      <w:r>
        <w:rPr>
          <w:rFonts w:ascii="Times New Roman"/>
          <w:b w:val="false"/>
          <w:i w:val="false"/>
          <w:color w:val="000000"/>
          <w:sz w:val="28"/>
        </w:rPr>
        <w:t>
      4) вовлеченными в осуществление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481"/>
    <w:bookmarkStart w:name="z4427" w:id="1482"/>
    <w:p>
      <w:pPr>
        <w:spacing w:after="0"/>
        <w:ind w:left="0"/>
        <w:jc w:val="both"/>
      </w:pPr>
      <w:r>
        <w:rPr>
          <w:rFonts w:ascii="Times New Roman"/>
          <w:b w:val="false"/>
          <w:i w:val="false"/>
          <w:color w:val="000000"/>
          <w:sz w:val="28"/>
        </w:rPr>
        <w:t>
      В отношении клиентов, указанных в части второй настоящего пункта, банк присваивает высокий уровень риска ОД/ФТ, применяет усиленные меры надлежащей проверки таких клиентов и отвечает за:</w:t>
      </w:r>
    </w:p>
    <w:bookmarkEnd w:id="1482"/>
    <w:bookmarkStart w:name="z4428" w:id="1483"/>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w:t>
      </w:r>
    </w:p>
    <w:bookmarkEnd w:id="1483"/>
    <w:bookmarkStart w:name="z4429" w:id="1484"/>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1484"/>
    <w:bookmarkStart w:name="z4430" w:id="1485"/>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w:t>
      </w:r>
    </w:p>
    <w:bookmarkEnd w:id="1485"/>
    <w:bookmarkStart w:name="z4431" w:id="1486"/>
    <w:p>
      <w:pPr>
        <w:spacing w:after="0"/>
        <w:ind w:left="0"/>
        <w:jc w:val="both"/>
      </w:pPr>
      <w:r>
        <w:rPr>
          <w:rFonts w:ascii="Times New Roman"/>
          <w:b w:val="false"/>
          <w:i w:val="false"/>
          <w:color w:val="000000"/>
          <w:sz w:val="28"/>
        </w:rPr>
        <w:t>
      принятие мер в отношении нерезидентов Республики Казахстан по установлению цели и характера деловых отношений путем затребования документов, подтверждающих обоснованность нахождения в Республике Казахстан (трудового договора, договора обучения, вида на жительство иностранца в Республике Казахстан и других документов);</w:t>
      </w:r>
    </w:p>
    <w:bookmarkEnd w:id="1486"/>
    <w:bookmarkStart w:name="z4432" w:id="1487"/>
    <w:p>
      <w:pPr>
        <w:spacing w:after="0"/>
        <w:ind w:left="0"/>
        <w:jc w:val="both"/>
      </w:pPr>
      <w:r>
        <w:rPr>
          <w:rFonts w:ascii="Times New Roman"/>
          <w:b w:val="false"/>
          <w:i w:val="false"/>
          <w:color w:val="000000"/>
          <w:sz w:val="28"/>
        </w:rPr>
        <w:t>
      обновление сведений о клиенте (его представителе)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87"/>
    <w:bookmarkStart w:name="z4433" w:id="1488"/>
    <w:p>
      <w:pPr>
        <w:spacing w:after="0"/>
        <w:ind w:left="0"/>
        <w:jc w:val="both"/>
      </w:pPr>
      <w:r>
        <w:rPr>
          <w:rFonts w:ascii="Times New Roman"/>
          <w:b w:val="false"/>
          <w:i w:val="false"/>
          <w:color w:val="000000"/>
          <w:sz w:val="28"/>
        </w:rPr>
        <w:t>
      направление информации в уполномоченный орган по финансовому мониторингу по клиентам банка;</w:t>
      </w:r>
    </w:p>
    <w:bookmarkEnd w:id="1488"/>
    <w:bookmarkStart w:name="z4434" w:id="1489"/>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89"/>
    <w:bookmarkStart w:name="z4435" w:id="1490"/>
    <w:p>
      <w:pPr>
        <w:spacing w:after="0"/>
        <w:ind w:left="0"/>
        <w:jc w:val="both"/>
      </w:pPr>
      <w:r>
        <w:rPr>
          <w:rFonts w:ascii="Times New Roman"/>
          <w:b w:val="false"/>
          <w:i w:val="false"/>
          <w:color w:val="000000"/>
          <w:sz w:val="28"/>
        </w:rPr>
        <w:t>
      Банк осуществляет выявление и блокирование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490"/>
    <w:bookmarkStart w:name="z4436" w:id="1491"/>
    <w:p>
      <w:pPr>
        <w:spacing w:after="0"/>
        <w:ind w:left="0"/>
        <w:jc w:val="both"/>
      </w:pPr>
      <w:r>
        <w:rPr>
          <w:rFonts w:ascii="Times New Roman"/>
          <w:b w:val="false"/>
          <w:i w:val="false"/>
          <w:color w:val="000000"/>
          <w:sz w:val="28"/>
        </w:rPr>
        <w:t>
      В отношении участника Международного финансового центра "Астана", оказывающего услуги по управлению платформой цифровых активов, банк осуществляет оценку риска ОД/ФТ. При присвоении участнику Международного финансового центра "Астана", оказывающему услуги по управлению платформой цифровых активов, высокого уровня риска ОД/ФТ банк применяет усиленные меры надлежащей проверки клиентов, а также при проведении банковских операций отвечает за:</w:t>
      </w:r>
    </w:p>
    <w:bookmarkEnd w:id="1491"/>
    <w:bookmarkStart w:name="z4437" w:id="1492"/>
    <w:p>
      <w:pPr>
        <w:spacing w:after="0"/>
        <w:ind w:left="0"/>
        <w:jc w:val="both"/>
      </w:pPr>
      <w:r>
        <w:rPr>
          <w:rFonts w:ascii="Times New Roman"/>
          <w:b w:val="false"/>
          <w:i w:val="false"/>
          <w:color w:val="000000"/>
          <w:sz w:val="28"/>
        </w:rPr>
        <w:t>
      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bookmarkEnd w:id="1492"/>
    <w:bookmarkStart w:name="z4438" w:id="1493"/>
    <w:p>
      <w:pPr>
        <w:spacing w:after="0"/>
        <w:ind w:left="0"/>
        <w:jc w:val="both"/>
      </w:pPr>
      <w:r>
        <w:rPr>
          <w:rFonts w:ascii="Times New Roman"/>
          <w:b w:val="false"/>
          <w:i w:val="false"/>
          <w:color w:val="000000"/>
          <w:sz w:val="28"/>
        </w:rPr>
        <w:t>
      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со стороны Комитета Международного финансового центра "Астана" по регулированию финансовых услуг;</w:t>
      </w:r>
    </w:p>
    <w:bookmarkEnd w:id="1493"/>
    <w:bookmarkStart w:name="z4439" w:id="1494"/>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bookmarkEnd w:id="1494"/>
    <w:bookmarkStart w:name="z4440" w:id="1495"/>
    <w:p>
      <w:pPr>
        <w:spacing w:after="0"/>
        <w:ind w:left="0"/>
        <w:jc w:val="both"/>
      </w:pPr>
      <w:r>
        <w:rPr>
          <w:rFonts w:ascii="Times New Roman"/>
          <w:b w:val="false"/>
          <w:i w:val="false"/>
          <w:color w:val="000000"/>
          <w:sz w:val="28"/>
        </w:rPr>
        <w:t>
      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bookmarkEnd w:id="1495"/>
    <w:bookmarkStart w:name="z4441" w:id="1496"/>
    <w:p>
      <w:pPr>
        <w:spacing w:after="0"/>
        <w:ind w:left="0"/>
        <w:jc w:val="both"/>
      </w:pPr>
      <w:r>
        <w:rPr>
          <w:rFonts w:ascii="Times New Roman"/>
          <w:b w:val="false"/>
          <w:i w:val="false"/>
          <w:color w:val="000000"/>
          <w:sz w:val="28"/>
        </w:rPr>
        <w:t>
      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bookmarkEnd w:id="1496"/>
    <w:bookmarkStart w:name="z4442" w:id="1497"/>
    <w:p>
      <w:pPr>
        <w:spacing w:after="0"/>
        <w:ind w:left="0"/>
        <w:jc w:val="both"/>
      </w:pPr>
      <w:r>
        <w:rPr>
          <w:rFonts w:ascii="Times New Roman"/>
          <w:b w:val="false"/>
          <w:i w:val="false"/>
          <w:color w:val="000000"/>
          <w:sz w:val="28"/>
        </w:rPr>
        <w:t>
      в отношении которого применяются международные санкции в соответствии с резолюциями Совета Безопасности Организации Объединенных Наций;</w:t>
      </w:r>
    </w:p>
    <w:bookmarkEnd w:id="1497"/>
    <w:bookmarkStart w:name="z4443" w:id="1498"/>
    <w:p>
      <w:pPr>
        <w:spacing w:after="0"/>
        <w:ind w:left="0"/>
        <w:jc w:val="both"/>
      </w:pPr>
      <w:r>
        <w:rPr>
          <w:rFonts w:ascii="Times New Roman"/>
          <w:b w:val="false"/>
          <w:i w:val="false"/>
          <w:color w:val="000000"/>
          <w:sz w:val="28"/>
        </w:rPr>
        <w:t xml:space="preserve">
      включенного в перечень офшорных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1498"/>
    <w:bookmarkStart w:name="z4444" w:id="1499"/>
    <w:p>
      <w:pPr>
        <w:spacing w:after="0"/>
        <w:ind w:left="0"/>
        <w:jc w:val="both"/>
      </w:pPr>
      <w:r>
        <w:rPr>
          <w:rFonts w:ascii="Times New Roman"/>
          <w:b w:val="false"/>
          <w:i w:val="false"/>
          <w:color w:val="000000"/>
          <w:sz w:val="28"/>
        </w:rPr>
        <w:t>
      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bookmarkEnd w:id="1499"/>
    <w:bookmarkStart w:name="z4445" w:id="1500"/>
    <w:p>
      <w:pPr>
        <w:spacing w:after="0"/>
        <w:ind w:left="0"/>
        <w:jc w:val="both"/>
      </w:pPr>
      <w:r>
        <w:rPr>
          <w:rFonts w:ascii="Times New Roman"/>
          <w:b w:val="false"/>
          <w:i w:val="false"/>
          <w:color w:val="000000"/>
          <w:sz w:val="28"/>
        </w:rPr>
        <w:t>
      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w:t>
      </w:r>
    </w:p>
    <w:bookmarkEnd w:id="1500"/>
    <w:bookmarkStart w:name="z4446" w:id="1501"/>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 с деньгами и (или) иным имуществом (далее – подозрительные операции);</w:t>
      </w:r>
    </w:p>
    <w:bookmarkEnd w:id="1501"/>
    <w:bookmarkStart w:name="z4447" w:id="1502"/>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02"/>
    <w:bookmarkStart w:name="z4448" w:id="1503"/>
    <w:p>
      <w:pPr>
        <w:spacing w:after="0"/>
        <w:ind w:left="0"/>
        <w:jc w:val="both"/>
      </w:pPr>
      <w:r>
        <w:rPr>
          <w:rFonts w:ascii="Times New Roman"/>
          <w:b w:val="false"/>
          <w:i w:val="false"/>
          <w:color w:val="000000"/>
          <w:sz w:val="28"/>
        </w:rPr>
        <w:t>
      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bookmarkEnd w:id="1503"/>
    <w:bookmarkStart w:name="z4449" w:id="1504"/>
    <w:p>
      <w:pPr>
        <w:spacing w:after="0"/>
        <w:ind w:left="0"/>
        <w:jc w:val="both"/>
      </w:pPr>
      <w:r>
        <w:rPr>
          <w:rFonts w:ascii="Times New Roman"/>
          <w:b w:val="false"/>
          <w:i w:val="false"/>
          <w:color w:val="000000"/>
          <w:sz w:val="28"/>
        </w:rPr>
        <w:t>
      обеспечение хранения записи транзакций по операциям с деньгами и предоставление информации в уполномоченный орган по финансовому мониторингу;</w:t>
      </w:r>
    </w:p>
    <w:bookmarkEnd w:id="1504"/>
    <w:bookmarkStart w:name="z4450" w:id="1505"/>
    <w:p>
      <w:pPr>
        <w:spacing w:after="0"/>
        <w:ind w:left="0"/>
        <w:jc w:val="both"/>
      </w:pPr>
      <w:r>
        <w:rPr>
          <w:rFonts w:ascii="Times New Roman"/>
          <w:b w:val="false"/>
          <w:i w:val="false"/>
          <w:color w:val="000000"/>
          <w:sz w:val="28"/>
        </w:rPr>
        <w:t>
      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bookmarkEnd w:id="1505"/>
    <w:bookmarkStart w:name="z4451" w:id="1506"/>
    <w:p>
      <w:pPr>
        <w:spacing w:after="0"/>
        <w:ind w:left="0"/>
        <w:jc w:val="both"/>
      </w:pPr>
      <w:r>
        <w:rPr>
          <w:rFonts w:ascii="Times New Roman"/>
          <w:b w:val="false"/>
          <w:i w:val="false"/>
          <w:color w:val="000000"/>
          <w:sz w:val="28"/>
        </w:rPr>
        <w:t>
      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506"/>
    <w:bookmarkStart w:name="z4452" w:id="1507"/>
    <w:p>
      <w:pPr>
        <w:spacing w:after="0"/>
        <w:ind w:left="0"/>
        <w:jc w:val="both"/>
      </w:pPr>
      <w:r>
        <w:rPr>
          <w:rFonts w:ascii="Times New Roman"/>
          <w:b w:val="false"/>
          <w:i w:val="false"/>
          <w:color w:val="000000"/>
          <w:sz w:val="28"/>
        </w:rPr>
        <w:t>
      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1507"/>
    <w:bookmarkStart w:name="z4453" w:id="1508"/>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не превышающей 1 000 (одну тысячу) долларов США в эквиваленте по рыночному курсу обмена валют на дату проведения банковской операции, применяет упрощенные меры надлежащей проверки клиентов, за исключением случаев совершения клиентами подозрительных операций.</w:t>
      </w:r>
    </w:p>
    <w:bookmarkEnd w:id="1508"/>
    <w:bookmarkStart w:name="z4454" w:id="1509"/>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равной или превышающей 1 000 (одну тысячу) долларов США в эквиваленте по рыночному курсу обмена валют на дату проведения банковской операции, применяет усиленные меры надлежащей проверки клиентов и отвечает за:</w:t>
      </w:r>
    </w:p>
    <w:bookmarkEnd w:id="1509"/>
    <w:bookmarkStart w:name="z4455" w:id="1510"/>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bookmarkEnd w:id="1510"/>
    <w:bookmarkStart w:name="z4456" w:id="1511"/>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1511"/>
    <w:bookmarkStart w:name="z4457" w:id="1512"/>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w:t>
      </w:r>
    </w:p>
    <w:bookmarkEnd w:id="1512"/>
    <w:bookmarkStart w:name="z4458" w:id="1513"/>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513"/>
    <w:bookmarkStart w:name="z4459" w:id="1514"/>
    <w:p>
      <w:pPr>
        <w:spacing w:after="0"/>
        <w:ind w:left="0"/>
        <w:jc w:val="both"/>
      </w:pPr>
      <w:r>
        <w:rPr>
          <w:rFonts w:ascii="Times New Roman"/>
          <w:b w:val="false"/>
          <w:i w:val="false"/>
          <w:color w:val="000000"/>
          <w:sz w:val="28"/>
        </w:rPr>
        <w:t>
      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bookmarkEnd w:id="1514"/>
    <w:bookmarkStart w:name="z4460" w:id="1515"/>
    <w:p>
      <w:pPr>
        <w:spacing w:after="0"/>
        <w:ind w:left="0"/>
        <w:jc w:val="both"/>
      </w:pPr>
      <w:r>
        <w:rPr>
          <w:rFonts w:ascii="Times New Roman"/>
          <w:b w:val="false"/>
          <w:i w:val="false"/>
          <w:color w:val="000000"/>
          <w:sz w:val="28"/>
        </w:rPr>
        <w:t>
      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bookmarkEnd w:id="1515"/>
    <w:bookmarkStart w:name="z4461" w:id="1516"/>
    <w:p>
      <w:pPr>
        <w:spacing w:after="0"/>
        <w:ind w:left="0"/>
        <w:jc w:val="both"/>
      </w:pPr>
      <w:r>
        <w:rPr>
          <w:rFonts w:ascii="Times New Roman"/>
          <w:b w:val="false"/>
          <w:i w:val="false"/>
          <w:color w:val="000000"/>
          <w:sz w:val="28"/>
        </w:rPr>
        <w:t>
      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bookmarkEnd w:id="1516"/>
    <w:bookmarkStart w:name="z4462" w:id="1517"/>
    <w:p>
      <w:pPr>
        <w:spacing w:after="0"/>
        <w:ind w:left="0"/>
        <w:jc w:val="both"/>
      </w:pPr>
      <w:r>
        <w:rPr>
          <w:rFonts w:ascii="Times New Roman"/>
          <w:b w:val="false"/>
          <w:i w:val="false"/>
          <w:color w:val="000000"/>
          <w:sz w:val="28"/>
        </w:rPr>
        <w:t>
      бизнес-план и бизнес-модель участника Международного финансового центра "Астана", оказывающего услуги по управлению платформой цифровых активов;</w:t>
      </w:r>
    </w:p>
    <w:bookmarkEnd w:id="1517"/>
    <w:bookmarkStart w:name="z4463" w:id="1518"/>
    <w:p>
      <w:pPr>
        <w:spacing w:after="0"/>
        <w:ind w:left="0"/>
        <w:jc w:val="both"/>
      </w:pPr>
      <w:r>
        <w:rPr>
          <w:rFonts w:ascii="Times New Roman"/>
          <w:b w:val="false"/>
          <w:i w:val="false"/>
          <w:color w:val="000000"/>
          <w:sz w:val="28"/>
        </w:rPr>
        <w:t>
      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bookmarkEnd w:id="1518"/>
    <w:bookmarkStart w:name="z4464" w:id="1519"/>
    <w:p>
      <w:pPr>
        <w:spacing w:after="0"/>
        <w:ind w:left="0"/>
        <w:jc w:val="both"/>
      </w:pPr>
      <w:r>
        <w:rPr>
          <w:rFonts w:ascii="Times New Roman"/>
          <w:b w:val="false"/>
          <w:i w:val="false"/>
          <w:color w:val="000000"/>
          <w:sz w:val="28"/>
        </w:rPr>
        <w:t>
      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bookmarkEnd w:id="1519"/>
    <w:bookmarkStart w:name="z4465" w:id="1520"/>
    <w:p>
      <w:pPr>
        <w:spacing w:after="0"/>
        <w:ind w:left="0"/>
        <w:jc w:val="both"/>
      </w:pPr>
      <w:r>
        <w:rPr>
          <w:rFonts w:ascii="Times New Roman"/>
          <w:b w:val="false"/>
          <w:i w:val="false"/>
          <w:color w:val="000000"/>
          <w:sz w:val="28"/>
        </w:rPr>
        <w:t>
      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bookmarkEnd w:id="1520"/>
    <w:bookmarkStart w:name="z4466" w:id="1521"/>
    <w:p>
      <w:pPr>
        <w:spacing w:after="0"/>
        <w:ind w:left="0"/>
        <w:jc w:val="both"/>
      </w:pPr>
      <w:r>
        <w:rPr>
          <w:rFonts w:ascii="Times New Roman"/>
          <w:b w:val="false"/>
          <w:i w:val="false"/>
          <w:color w:val="000000"/>
          <w:sz w:val="28"/>
        </w:rPr>
        <w:t>
      Эффективный внутренний контроль обеспечивается путем формирования надлежащего управленческого контроля и культуры контроля (контрольной среды).</w:t>
      </w:r>
    </w:p>
    <w:bookmarkEnd w:id="1521"/>
    <w:bookmarkStart w:name="z4467" w:id="1522"/>
    <w:p>
      <w:pPr>
        <w:spacing w:after="0"/>
        <w:ind w:left="0"/>
        <w:jc w:val="both"/>
      </w:pPr>
      <w:r>
        <w:rPr>
          <w:rFonts w:ascii="Times New Roman"/>
          <w:b w:val="false"/>
          <w:i w:val="false"/>
          <w:color w:val="000000"/>
          <w:sz w:val="28"/>
        </w:rPr>
        <w:t>
      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постановления Правления Агентства РК по регулированию и развитию финансового рынка от 31.12.2024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8" w:id="1523"/>
    <w:p>
      <w:pPr>
        <w:spacing w:after="0"/>
        <w:ind w:left="0"/>
        <w:jc w:val="both"/>
      </w:pPr>
      <w:r>
        <w:rPr>
          <w:rFonts w:ascii="Times New Roman"/>
          <w:b w:val="false"/>
          <w:i w:val="false"/>
          <w:color w:val="000000"/>
          <w:sz w:val="28"/>
        </w:rPr>
        <w:t>
      99. Управленческий контроль и культура контроля (контрольная среда) формируются советом директоров и правлением банка на основе следования этическим принципам, стандартам профессиональной деятельности и корпоративного управления, что в совокупности с их законодательно установленными обязанностями и ответственностью обеспечивают адекватный контроль со стороны органов управления банка, включая контроль за:</w:t>
      </w:r>
    </w:p>
    <w:bookmarkEnd w:id="1523"/>
    <w:bookmarkStart w:name="z1269" w:id="1524"/>
    <w:p>
      <w:pPr>
        <w:spacing w:after="0"/>
        <w:ind w:left="0"/>
        <w:jc w:val="both"/>
      </w:pPr>
      <w:r>
        <w:rPr>
          <w:rFonts w:ascii="Times New Roman"/>
          <w:b w:val="false"/>
          <w:i w:val="false"/>
          <w:color w:val="000000"/>
          <w:sz w:val="28"/>
        </w:rPr>
        <w:t>
      1) организацией деятельности банка, включая разработку и реализацию стратегии банка, внутренних документов банка;</w:t>
      </w:r>
    </w:p>
    <w:bookmarkEnd w:id="1524"/>
    <w:bookmarkStart w:name="z1270" w:id="1525"/>
    <w:p>
      <w:pPr>
        <w:spacing w:after="0"/>
        <w:ind w:left="0"/>
        <w:jc w:val="both"/>
      </w:pPr>
      <w:r>
        <w:rPr>
          <w:rFonts w:ascii="Times New Roman"/>
          <w:b w:val="false"/>
          <w:i w:val="false"/>
          <w:color w:val="000000"/>
          <w:sz w:val="28"/>
        </w:rPr>
        <w:t>
      2) функционированием системы управления банковскими рисками и оценку банковских рисков;</w:t>
      </w:r>
    </w:p>
    <w:bookmarkEnd w:id="1525"/>
    <w:bookmarkStart w:name="z1271" w:id="1526"/>
    <w:p>
      <w:pPr>
        <w:spacing w:after="0"/>
        <w:ind w:left="0"/>
        <w:jc w:val="both"/>
      </w:pPr>
      <w:r>
        <w:rPr>
          <w:rFonts w:ascii="Times New Roman"/>
          <w:b w:val="false"/>
          <w:i w:val="false"/>
          <w:color w:val="000000"/>
          <w:sz w:val="28"/>
        </w:rPr>
        <w:t>
      3) распределением полномочий при совершении банковских операций и других сделок;</w:t>
      </w:r>
    </w:p>
    <w:bookmarkEnd w:id="1526"/>
    <w:bookmarkStart w:name="z1272" w:id="1527"/>
    <w:p>
      <w:pPr>
        <w:spacing w:after="0"/>
        <w:ind w:left="0"/>
        <w:jc w:val="both"/>
      </w:pPr>
      <w:r>
        <w:rPr>
          <w:rFonts w:ascii="Times New Roman"/>
          <w:b w:val="false"/>
          <w:i w:val="false"/>
          <w:color w:val="000000"/>
          <w:sz w:val="28"/>
        </w:rPr>
        <w:t>
      4) управлением информационными потоками (получение и передача информации) и обеспечение информационной безопасности;</w:t>
      </w:r>
    </w:p>
    <w:bookmarkEnd w:id="1527"/>
    <w:bookmarkStart w:name="z1273" w:id="1528"/>
    <w:p>
      <w:pPr>
        <w:spacing w:after="0"/>
        <w:ind w:left="0"/>
        <w:jc w:val="both"/>
      </w:pPr>
      <w:r>
        <w:rPr>
          <w:rFonts w:ascii="Times New Roman"/>
          <w:b w:val="false"/>
          <w:i w:val="false"/>
          <w:color w:val="000000"/>
          <w:sz w:val="28"/>
        </w:rPr>
        <w:t>
      5) созданием и функционированием системы внутреннего контроля.</w:t>
      </w:r>
    </w:p>
    <w:bookmarkEnd w:id="1528"/>
    <w:bookmarkStart w:name="z1274" w:id="1529"/>
    <w:p>
      <w:pPr>
        <w:spacing w:after="0"/>
        <w:ind w:left="0"/>
        <w:jc w:val="both"/>
      </w:pPr>
      <w:r>
        <w:rPr>
          <w:rFonts w:ascii="Times New Roman"/>
          <w:b w:val="false"/>
          <w:i w:val="false"/>
          <w:color w:val="000000"/>
          <w:sz w:val="28"/>
        </w:rPr>
        <w:t>
      100. Банк обеспечивает наличие и функционирование системы внутреннего контроля банка, которая включает, но не ограничивается следующим:</w:t>
      </w:r>
    </w:p>
    <w:bookmarkEnd w:id="1529"/>
    <w:bookmarkStart w:name="z1275" w:id="1530"/>
    <w:p>
      <w:pPr>
        <w:spacing w:after="0"/>
        <w:ind w:left="0"/>
        <w:jc w:val="both"/>
      </w:pPr>
      <w:r>
        <w:rPr>
          <w:rFonts w:ascii="Times New Roman"/>
          <w:b w:val="false"/>
          <w:i w:val="false"/>
          <w:color w:val="000000"/>
          <w:sz w:val="28"/>
        </w:rPr>
        <w:t>
      1) принципы организации системы внутреннего контроля;</w:t>
      </w:r>
    </w:p>
    <w:bookmarkEnd w:id="1530"/>
    <w:bookmarkStart w:name="z1276" w:id="1531"/>
    <w:p>
      <w:pPr>
        <w:spacing w:after="0"/>
        <w:ind w:left="0"/>
        <w:jc w:val="both"/>
      </w:pPr>
      <w:r>
        <w:rPr>
          <w:rFonts w:ascii="Times New Roman"/>
          <w:b w:val="false"/>
          <w:i w:val="false"/>
          <w:color w:val="000000"/>
          <w:sz w:val="28"/>
        </w:rPr>
        <w:t>
      2) требования к профессиональным качествам работников;</w:t>
      </w:r>
    </w:p>
    <w:bookmarkEnd w:id="1531"/>
    <w:bookmarkStart w:name="z1277" w:id="1532"/>
    <w:p>
      <w:pPr>
        <w:spacing w:after="0"/>
        <w:ind w:left="0"/>
        <w:jc w:val="both"/>
      </w:pPr>
      <w:r>
        <w:rPr>
          <w:rFonts w:ascii="Times New Roman"/>
          <w:b w:val="false"/>
          <w:i w:val="false"/>
          <w:color w:val="000000"/>
          <w:sz w:val="28"/>
        </w:rPr>
        <w:t>
      3) внутренний порядок и процедуры осуществления внутреннего контроля;</w:t>
      </w:r>
    </w:p>
    <w:bookmarkEnd w:id="1532"/>
    <w:bookmarkStart w:name="z1278" w:id="1533"/>
    <w:p>
      <w:pPr>
        <w:spacing w:after="0"/>
        <w:ind w:left="0"/>
        <w:jc w:val="both"/>
      </w:pPr>
      <w:r>
        <w:rPr>
          <w:rFonts w:ascii="Times New Roman"/>
          <w:b w:val="false"/>
          <w:i w:val="false"/>
          <w:color w:val="000000"/>
          <w:sz w:val="28"/>
        </w:rPr>
        <w:t>
      4) определение участников системы внутреннего контроля на основе трех линий защиты, их полномочия, ответственность с четким определением структуры подотчетности;</w:t>
      </w:r>
    </w:p>
    <w:bookmarkEnd w:id="1533"/>
    <w:bookmarkStart w:name="z1279" w:id="1534"/>
    <w:p>
      <w:pPr>
        <w:spacing w:after="0"/>
        <w:ind w:left="0"/>
        <w:jc w:val="both"/>
      </w:pPr>
      <w:r>
        <w:rPr>
          <w:rFonts w:ascii="Times New Roman"/>
          <w:b w:val="false"/>
          <w:i w:val="false"/>
          <w:color w:val="000000"/>
          <w:sz w:val="28"/>
        </w:rPr>
        <w:t>
      5) внутренний порядок взаимодействия и обмена информацией между участниками системы внутреннего контроля по трем линиям защиты;</w:t>
      </w:r>
    </w:p>
    <w:bookmarkEnd w:id="1534"/>
    <w:bookmarkStart w:name="z1280" w:id="1535"/>
    <w:p>
      <w:pPr>
        <w:spacing w:after="0"/>
        <w:ind w:left="0"/>
        <w:jc w:val="both"/>
      </w:pPr>
      <w:r>
        <w:rPr>
          <w:rFonts w:ascii="Times New Roman"/>
          <w:b w:val="false"/>
          <w:i w:val="false"/>
          <w:color w:val="000000"/>
          <w:sz w:val="28"/>
        </w:rPr>
        <w:t>
      6) внутренний порядок внесения изменений во внутренние документы банка в случаях обнаружения недостатков в процессе осуществления внутреннего контроля.</w:t>
      </w:r>
    </w:p>
    <w:bookmarkEnd w:id="1535"/>
    <w:bookmarkStart w:name="z1281" w:id="1536"/>
    <w:p>
      <w:pPr>
        <w:spacing w:after="0"/>
        <w:ind w:left="0"/>
        <w:jc w:val="both"/>
      </w:pPr>
      <w:r>
        <w:rPr>
          <w:rFonts w:ascii="Times New Roman"/>
          <w:b w:val="false"/>
          <w:i w:val="false"/>
          <w:color w:val="000000"/>
          <w:sz w:val="28"/>
        </w:rPr>
        <w:t>
      Система внутреннего контроля банка основывается на следующих принципах:</w:t>
      </w:r>
    </w:p>
    <w:bookmarkEnd w:id="1536"/>
    <w:bookmarkStart w:name="z1282" w:id="1537"/>
    <w:p>
      <w:pPr>
        <w:spacing w:after="0"/>
        <w:ind w:left="0"/>
        <w:jc w:val="both"/>
      </w:pPr>
      <w:r>
        <w:rPr>
          <w:rFonts w:ascii="Times New Roman"/>
          <w:b w:val="false"/>
          <w:i w:val="false"/>
          <w:color w:val="000000"/>
          <w:sz w:val="28"/>
        </w:rPr>
        <w:t>
      участие в процессе внутреннего контроля всех структурных подразделений и работников банка и организации внутреннего контроля как повседневной деятельности на всех уровнях управления;</w:t>
      </w:r>
    </w:p>
    <w:bookmarkEnd w:id="1537"/>
    <w:bookmarkStart w:name="z1283" w:id="1538"/>
    <w:p>
      <w:pPr>
        <w:spacing w:after="0"/>
        <w:ind w:left="0"/>
        <w:jc w:val="both"/>
      </w:pPr>
      <w:r>
        <w:rPr>
          <w:rFonts w:ascii="Times New Roman"/>
          <w:b w:val="false"/>
          <w:i w:val="false"/>
          <w:color w:val="000000"/>
          <w:sz w:val="28"/>
        </w:rPr>
        <w:t>
      охват внутренним контролем всех направлений деятельности и бизнес-процессов и регламентации процедур внутреннего контроля по всем направлениям и бизнес-процессам банка;</w:t>
      </w:r>
    </w:p>
    <w:bookmarkEnd w:id="1538"/>
    <w:bookmarkStart w:name="z1284" w:id="1539"/>
    <w:p>
      <w:pPr>
        <w:spacing w:after="0"/>
        <w:ind w:left="0"/>
        <w:jc w:val="both"/>
      </w:pPr>
      <w:r>
        <w:rPr>
          <w:rFonts w:ascii="Times New Roman"/>
          <w:b w:val="false"/>
          <w:i w:val="false"/>
          <w:color w:val="000000"/>
          <w:sz w:val="28"/>
        </w:rPr>
        <w:t>
      осуществление внутреннего контроля на постоянной основе (непрерывность).</w:t>
      </w:r>
    </w:p>
    <w:bookmarkEnd w:id="1539"/>
    <w:bookmarkStart w:name="z1285" w:id="1540"/>
    <w:p>
      <w:pPr>
        <w:spacing w:after="0"/>
        <w:ind w:left="0"/>
        <w:jc w:val="both"/>
      </w:pPr>
      <w:r>
        <w:rPr>
          <w:rFonts w:ascii="Times New Roman"/>
          <w:b w:val="false"/>
          <w:i w:val="false"/>
          <w:color w:val="000000"/>
          <w:sz w:val="28"/>
        </w:rPr>
        <w:t>
      101. Банк определяет участников системы внутреннего контроля на основе трех линий защиты:</w:t>
      </w:r>
    </w:p>
    <w:bookmarkEnd w:id="1540"/>
    <w:bookmarkStart w:name="z1286" w:id="1541"/>
    <w:p>
      <w:pPr>
        <w:spacing w:after="0"/>
        <w:ind w:left="0"/>
        <w:jc w:val="both"/>
      </w:pPr>
      <w:r>
        <w:rPr>
          <w:rFonts w:ascii="Times New Roman"/>
          <w:b w:val="false"/>
          <w:i w:val="false"/>
          <w:color w:val="000000"/>
          <w:sz w:val="28"/>
        </w:rPr>
        <w:t>
      1) первая линия защиты обеспечивается самими структурными подразделениями банка. Руководители структурных подразделений несут ответственность за организацию и осуществление внутреннего контроля в структурном подразделении;</w:t>
      </w:r>
    </w:p>
    <w:bookmarkEnd w:id="1541"/>
    <w:bookmarkStart w:name="z1287" w:id="1542"/>
    <w:p>
      <w:pPr>
        <w:spacing w:after="0"/>
        <w:ind w:left="0"/>
        <w:jc w:val="both"/>
      </w:pPr>
      <w:r>
        <w:rPr>
          <w:rFonts w:ascii="Times New Roman"/>
          <w:b w:val="false"/>
          <w:i w:val="false"/>
          <w:color w:val="000000"/>
          <w:sz w:val="28"/>
        </w:rPr>
        <w:t>
      2) вторая линия защиты обеспечивается подразделениями по управлению рисками, комплаенс-контролем, юридическим подразделением, подразделением по работе с персоналом, подразделением (лицами), выполняющим (выполняющими) функции финансового контроля и иными структурными подразделениями банка, осуществляющими контрольные функции;</w:t>
      </w:r>
    </w:p>
    <w:bookmarkEnd w:id="1542"/>
    <w:bookmarkStart w:name="z1288" w:id="1543"/>
    <w:p>
      <w:pPr>
        <w:spacing w:after="0"/>
        <w:ind w:left="0"/>
        <w:jc w:val="both"/>
      </w:pPr>
      <w:r>
        <w:rPr>
          <w:rFonts w:ascii="Times New Roman"/>
          <w:b w:val="false"/>
          <w:i w:val="false"/>
          <w:color w:val="000000"/>
          <w:sz w:val="28"/>
        </w:rPr>
        <w:t>
      3) третья линия защиты обеспечивается подразделением внутреннего аудита посредством независимой оценки эффективности системы внутреннего контроля.</w:t>
      </w:r>
    </w:p>
    <w:bookmarkEnd w:id="1543"/>
    <w:bookmarkStart w:name="z1289" w:id="1544"/>
    <w:p>
      <w:pPr>
        <w:spacing w:after="0"/>
        <w:ind w:left="0"/>
        <w:jc w:val="both"/>
      </w:pPr>
      <w:r>
        <w:rPr>
          <w:rFonts w:ascii="Times New Roman"/>
          <w:b w:val="false"/>
          <w:i w:val="false"/>
          <w:color w:val="000000"/>
          <w:sz w:val="28"/>
        </w:rPr>
        <w:t>
      102. Банк разрабатывает процедуры осуществления внутреннего контроля, основанные на следующих взаимосвязанных элементах:</w:t>
      </w:r>
    </w:p>
    <w:bookmarkEnd w:id="1544"/>
    <w:bookmarkStart w:name="z1290" w:id="1545"/>
    <w:p>
      <w:pPr>
        <w:spacing w:after="0"/>
        <w:ind w:left="0"/>
        <w:jc w:val="both"/>
      </w:pPr>
      <w:r>
        <w:rPr>
          <w:rFonts w:ascii="Times New Roman"/>
          <w:b w:val="false"/>
          <w:i w:val="false"/>
          <w:color w:val="000000"/>
          <w:sz w:val="28"/>
        </w:rPr>
        <w:t>
      1) контроль за управлением рисками;</w:t>
      </w:r>
    </w:p>
    <w:bookmarkEnd w:id="1545"/>
    <w:bookmarkStart w:name="z1291" w:id="1546"/>
    <w:p>
      <w:pPr>
        <w:spacing w:after="0"/>
        <w:ind w:left="0"/>
        <w:jc w:val="both"/>
      </w:pPr>
      <w:r>
        <w:rPr>
          <w:rFonts w:ascii="Times New Roman"/>
          <w:b w:val="false"/>
          <w:i w:val="false"/>
          <w:color w:val="000000"/>
          <w:sz w:val="28"/>
        </w:rPr>
        <w:t>
      2) контрольные действия и разделение полномочий;</w:t>
      </w:r>
    </w:p>
    <w:bookmarkEnd w:id="1546"/>
    <w:bookmarkStart w:name="z1292" w:id="1547"/>
    <w:p>
      <w:pPr>
        <w:spacing w:after="0"/>
        <w:ind w:left="0"/>
        <w:jc w:val="both"/>
      </w:pPr>
      <w:r>
        <w:rPr>
          <w:rFonts w:ascii="Times New Roman"/>
          <w:b w:val="false"/>
          <w:i w:val="false"/>
          <w:color w:val="000000"/>
          <w:sz w:val="28"/>
        </w:rPr>
        <w:t>
      3) информация и взаимодействие;</w:t>
      </w:r>
    </w:p>
    <w:bookmarkEnd w:id="1547"/>
    <w:bookmarkStart w:name="z1293" w:id="1548"/>
    <w:p>
      <w:pPr>
        <w:spacing w:after="0"/>
        <w:ind w:left="0"/>
        <w:jc w:val="both"/>
      </w:pPr>
      <w:r>
        <w:rPr>
          <w:rFonts w:ascii="Times New Roman"/>
          <w:b w:val="false"/>
          <w:i w:val="false"/>
          <w:color w:val="000000"/>
          <w:sz w:val="28"/>
        </w:rPr>
        <w:t>
      4) мониторинг и исправление недостатков.</w:t>
      </w:r>
    </w:p>
    <w:bookmarkEnd w:id="1548"/>
    <w:bookmarkStart w:name="z1294" w:id="1549"/>
    <w:p>
      <w:pPr>
        <w:spacing w:after="0"/>
        <w:ind w:left="0"/>
        <w:jc w:val="both"/>
      </w:pPr>
      <w:r>
        <w:rPr>
          <w:rFonts w:ascii="Times New Roman"/>
          <w:b w:val="false"/>
          <w:i w:val="false"/>
          <w:color w:val="000000"/>
          <w:sz w:val="28"/>
        </w:rPr>
        <w:t>
      103. Система внутреннего контроля обеспечивает контроль над своевременным выявлением и оценкой на постоянной основе рисков, присущих банку, и принятием своевременных мер по минимизации существенных рисков в соответствии с внутренними документами банка. Система внутреннего контроля обеспечивает, но не ограничивается следующим:</w:t>
      </w:r>
    </w:p>
    <w:bookmarkEnd w:id="1549"/>
    <w:bookmarkStart w:name="z1295" w:id="1550"/>
    <w:p>
      <w:pPr>
        <w:spacing w:after="0"/>
        <w:ind w:left="0"/>
        <w:jc w:val="both"/>
      </w:pPr>
      <w:r>
        <w:rPr>
          <w:rFonts w:ascii="Times New Roman"/>
          <w:b w:val="false"/>
          <w:i w:val="false"/>
          <w:color w:val="000000"/>
          <w:sz w:val="28"/>
        </w:rPr>
        <w:t>
      1) рассмотрение и учет в ходе оценки рисков внутренних факторов (сложность организационной структуры банка, характер его деятельности, качественные характеристики персонала, организационные изменения, текучесть кадров), а также внешних факторов (изменения экономических условий и ситуации в банковской сфере, технологические новшества), которые негативно сказываются на достижении поставленных банком целей;</w:t>
      </w:r>
    </w:p>
    <w:bookmarkEnd w:id="1550"/>
    <w:bookmarkStart w:name="z1296" w:id="1551"/>
    <w:p>
      <w:pPr>
        <w:spacing w:after="0"/>
        <w:ind w:left="0"/>
        <w:jc w:val="both"/>
      </w:pPr>
      <w:r>
        <w:rPr>
          <w:rFonts w:ascii="Times New Roman"/>
          <w:b w:val="false"/>
          <w:i w:val="false"/>
          <w:color w:val="000000"/>
          <w:sz w:val="28"/>
        </w:rPr>
        <w:t>
      2) осуществление оценки рисков по отдельным направлениям деятельности банка;</w:t>
      </w:r>
    </w:p>
    <w:bookmarkEnd w:id="1551"/>
    <w:bookmarkStart w:name="z1297" w:id="1552"/>
    <w:p>
      <w:pPr>
        <w:spacing w:after="0"/>
        <w:ind w:left="0"/>
        <w:jc w:val="both"/>
      </w:pPr>
      <w:r>
        <w:rPr>
          <w:rFonts w:ascii="Times New Roman"/>
          <w:b w:val="false"/>
          <w:i w:val="false"/>
          <w:color w:val="000000"/>
          <w:sz w:val="28"/>
        </w:rPr>
        <w:t>
      3) проведение банком новых операций и услуг при условии наличия их регламентации во внутренних документах банка;</w:t>
      </w:r>
    </w:p>
    <w:bookmarkEnd w:id="1552"/>
    <w:bookmarkStart w:name="z1298" w:id="1553"/>
    <w:p>
      <w:pPr>
        <w:spacing w:after="0"/>
        <w:ind w:left="0"/>
        <w:jc w:val="both"/>
      </w:pPr>
      <w:r>
        <w:rPr>
          <w:rFonts w:ascii="Times New Roman"/>
          <w:b w:val="false"/>
          <w:i w:val="false"/>
          <w:color w:val="000000"/>
          <w:sz w:val="28"/>
        </w:rPr>
        <w:t>
      4) обеспечение своевременного информирования лиц (подразделений, органов банка), определенных в соответствующих внутренних документах банка, о факторах, влияющих на уровень подверженности банка рискам.</w:t>
      </w:r>
    </w:p>
    <w:bookmarkEnd w:id="1553"/>
    <w:bookmarkStart w:name="z1299" w:id="1554"/>
    <w:p>
      <w:pPr>
        <w:spacing w:after="0"/>
        <w:ind w:left="0"/>
        <w:jc w:val="both"/>
      </w:pPr>
      <w:r>
        <w:rPr>
          <w:rFonts w:ascii="Times New Roman"/>
          <w:b w:val="false"/>
          <w:i w:val="false"/>
          <w:color w:val="000000"/>
          <w:sz w:val="28"/>
        </w:rPr>
        <w:t>
      Система внутреннего контроля подвергается корректировке по мере выявления любых новых или неконтролируемых существенных рисков, в том числе связанных с внедрением новых услуг и продуктов.</w:t>
      </w:r>
    </w:p>
    <w:bookmarkEnd w:id="1554"/>
    <w:bookmarkStart w:name="z1300" w:id="1555"/>
    <w:p>
      <w:pPr>
        <w:spacing w:after="0"/>
        <w:ind w:left="0"/>
        <w:jc w:val="both"/>
      </w:pPr>
      <w:r>
        <w:rPr>
          <w:rFonts w:ascii="Times New Roman"/>
          <w:b w:val="false"/>
          <w:i w:val="false"/>
          <w:color w:val="000000"/>
          <w:sz w:val="28"/>
        </w:rPr>
        <w:t>
      104. Контрольные действия включают, но не ограничиваются следующим:</w:t>
      </w:r>
    </w:p>
    <w:bookmarkEnd w:id="1555"/>
    <w:bookmarkStart w:name="z1301" w:id="1556"/>
    <w:p>
      <w:pPr>
        <w:spacing w:after="0"/>
        <w:ind w:left="0"/>
        <w:jc w:val="both"/>
      </w:pPr>
      <w:r>
        <w:rPr>
          <w:rFonts w:ascii="Times New Roman"/>
          <w:b w:val="false"/>
          <w:i w:val="false"/>
          <w:color w:val="000000"/>
          <w:sz w:val="28"/>
        </w:rPr>
        <w:t>
      1) контроль, осуществляемый советом директоров банка, комитетами совета директоров и правлением банка в целях выявления и устранения недостатков внутреннего контроля, нарушений, ошибок;</w:t>
      </w:r>
    </w:p>
    <w:bookmarkEnd w:id="1556"/>
    <w:bookmarkStart w:name="z1302" w:id="1557"/>
    <w:p>
      <w:pPr>
        <w:spacing w:after="0"/>
        <w:ind w:left="0"/>
        <w:jc w:val="both"/>
      </w:pPr>
      <w:r>
        <w:rPr>
          <w:rFonts w:ascii="Times New Roman"/>
          <w:b w:val="false"/>
          <w:i w:val="false"/>
          <w:color w:val="000000"/>
          <w:sz w:val="28"/>
        </w:rPr>
        <w:t>
      2) контроль, осуществляемый руководителями структурных подразделений;</w:t>
      </w:r>
    </w:p>
    <w:bookmarkEnd w:id="1557"/>
    <w:bookmarkStart w:name="z1303" w:id="1558"/>
    <w:p>
      <w:pPr>
        <w:spacing w:after="0"/>
        <w:ind w:left="0"/>
        <w:jc w:val="both"/>
      </w:pPr>
      <w:r>
        <w:rPr>
          <w:rFonts w:ascii="Times New Roman"/>
          <w:b w:val="false"/>
          <w:i w:val="false"/>
          <w:color w:val="000000"/>
          <w:sz w:val="28"/>
        </w:rPr>
        <w:t>
      3) контроль физического наличия и доступа к материальным ценностям, обеспечения охраны помещений для хранения материальных ценностей;</w:t>
      </w:r>
    </w:p>
    <w:bookmarkEnd w:id="1558"/>
    <w:bookmarkStart w:name="z1304" w:id="1559"/>
    <w:p>
      <w:pPr>
        <w:spacing w:after="0"/>
        <w:ind w:left="0"/>
        <w:jc w:val="both"/>
      </w:pPr>
      <w:r>
        <w:rPr>
          <w:rFonts w:ascii="Times New Roman"/>
          <w:b w:val="false"/>
          <w:i w:val="false"/>
          <w:color w:val="000000"/>
          <w:sz w:val="28"/>
        </w:rPr>
        <w:t>
      4) проверку соблюдения установленных лимитов;</w:t>
      </w:r>
    </w:p>
    <w:bookmarkEnd w:id="1559"/>
    <w:bookmarkStart w:name="z1305" w:id="1560"/>
    <w:p>
      <w:pPr>
        <w:spacing w:after="0"/>
        <w:ind w:left="0"/>
        <w:jc w:val="both"/>
      </w:pPr>
      <w:r>
        <w:rPr>
          <w:rFonts w:ascii="Times New Roman"/>
          <w:b w:val="false"/>
          <w:i w:val="false"/>
          <w:color w:val="000000"/>
          <w:sz w:val="28"/>
        </w:rPr>
        <w:t>
      5) систему согласования и делегирования прав и полномочий;</w:t>
      </w:r>
    </w:p>
    <w:bookmarkEnd w:id="1560"/>
    <w:bookmarkStart w:name="z1306" w:id="1561"/>
    <w:p>
      <w:pPr>
        <w:spacing w:after="0"/>
        <w:ind w:left="0"/>
        <w:jc w:val="both"/>
      </w:pPr>
      <w:r>
        <w:rPr>
          <w:rFonts w:ascii="Times New Roman"/>
          <w:b w:val="false"/>
          <w:i w:val="false"/>
          <w:color w:val="000000"/>
          <w:sz w:val="28"/>
        </w:rPr>
        <w:t>
      6) проверку своевременного и корректного отражения операций и сделок банка в бухгалтерском учете и отчетности;</w:t>
      </w:r>
    </w:p>
    <w:bookmarkEnd w:id="1561"/>
    <w:bookmarkStart w:name="z1307" w:id="1562"/>
    <w:p>
      <w:pPr>
        <w:spacing w:after="0"/>
        <w:ind w:left="0"/>
        <w:jc w:val="both"/>
      </w:pPr>
      <w:r>
        <w:rPr>
          <w:rFonts w:ascii="Times New Roman"/>
          <w:b w:val="false"/>
          <w:i w:val="false"/>
          <w:color w:val="000000"/>
          <w:sz w:val="28"/>
        </w:rPr>
        <w:t>
      7) проверку соблюдения политик и процедур банка при совершении операций и сделок.</w:t>
      </w:r>
    </w:p>
    <w:bookmarkEnd w:id="1562"/>
    <w:bookmarkStart w:name="z1308" w:id="1563"/>
    <w:p>
      <w:pPr>
        <w:spacing w:after="0"/>
        <w:ind w:left="0"/>
        <w:jc w:val="both"/>
      </w:pPr>
      <w:r>
        <w:rPr>
          <w:rFonts w:ascii="Times New Roman"/>
          <w:b w:val="false"/>
          <w:i w:val="false"/>
          <w:color w:val="000000"/>
          <w:sz w:val="28"/>
        </w:rPr>
        <w:t>
      Контрольные действия в рамках разделения обязанностей способствуют минимизации конфликта интересов и условий его возникновения, совершения противоправных действий, а также недопущение предоставления одному и тому же структурному подразделению и (или) работнику возможности:</w:t>
      </w:r>
    </w:p>
    <w:bookmarkEnd w:id="1563"/>
    <w:bookmarkStart w:name="z1309" w:id="1564"/>
    <w:p>
      <w:pPr>
        <w:spacing w:after="0"/>
        <w:ind w:left="0"/>
        <w:jc w:val="both"/>
      </w:pPr>
      <w:r>
        <w:rPr>
          <w:rFonts w:ascii="Times New Roman"/>
          <w:b w:val="false"/>
          <w:i w:val="false"/>
          <w:color w:val="000000"/>
          <w:sz w:val="28"/>
        </w:rPr>
        <w:t>
      совершать банковские операции и другие сделки и одновременно осуществлять их отражение в учете;</w:t>
      </w:r>
    </w:p>
    <w:bookmarkEnd w:id="1564"/>
    <w:bookmarkStart w:name="z1310" w:id="1565"/>
    <w:p>
      <w:pPr>
        <w:spacing w:after="0"/>
        <w:ind w:left="0"/>
        <w:jc w:val="both"/>
      </w:pPr>
      <w:r>
        <w:rPr>
          <w:rFonts w:ascii="Times New Roman"/>
          <w:b w:val="false"/>
          <w:i w:val="false"/>
          <w:color w:val="000000"/>
          <w:sz w:val="28"/>
        </w:rPr>
        <w:t>
      санкционировать выплату денег и осуществлять их фактическую выплату с учетом лимитов, установленных внутренними документами банка;</w:t>
      </w:r>
    </w:p>
    <w:bookmarkEnd w:id="1565"/>
    <w:bookmarkStart w:name="z1311" w:id="1566"/>
    <w:p>
      <w:pPr>
        <w:spacing w:after="0"/>
        <w:ind w:left="0"/>
        <w:jc w:val="both"/>
      </w:pPr>
      <w:r>
        <w:rPr>
          <w:rFonts w:ascii="Times New Roman"/>
          <w:b w:val="false"/>
          <w:i w:val="false"/>
          <w:color w:val="000000"/>
          <w:sz w:val="28"/>
        </w:rPr>
        <w:t>
      проводить операции по счетам клиентов банка и счетам, отражающим собственную финансово-хозяйственную деятельность банка;</w:t>
      </w:r>
    </w:p>
    <w:bookmarkEnd w:id="1566"/>
    <w:bookmarkStart w:name="z1312" w:id="1567"/>
    <w:p>
      <w:pPr>
        <w:spacing w:after="0"/>
        <w:ind w:left="0"/>
        <w:jc w:val="both"/>
      </w:pPr>
      <w:r>
        <w:rPr>
          <w:rFonts w:ascii="Times New Roman"/>
          <w:b w:val="false"/>
          <w:i w:val="false"/>
          <w:color w:val="000000"/>
          <w:sz w:val="28"/>
        </w:rPr>
        <w:t>
      оценивать достоверность и полноту документов, представляемых при выдаче кредита, и осуществлять мониторинг возврата кредита;</w:t>
      </w:r>
    </w:p>
    <w:bookmarkEnd w:id="1567"/>
    <w:bookmarkStart w:name="z1313" w:id="1568"/>
    <w:p>
      <w:pPr>
        <w:spacing w:after="0"/>
        <w:ind w:left="0"/>
        <w:jc w:val="both"/>
      </w:pPr>
      <w:r>
        <w:rPr>
          <w:rFonts w:ascii="Times New Roman"/>
          <w:b w:val="false"/>
          <w:i w:val="false"/>
          <w:color w:val="000000"/>
          <w:sz w:val="28"/>
        </w:rPr>
        <w:t>
      совершать действия в любых других сферах деятельности, в которых возникает конфликт интересов.</w:t>
      </w:r>
    </w:p>
    <w:bookmarkEnd w:id="1568"/>
    <w:bookmarkStart w:name="z1314" w:id="1569"/>
    <w:p>
      <w:pPr>
        <w:spacing w:after="0"/>
        <w:ind w:left="0"/>
        <w:jc w:val="both"/>
      </w:pPr>
      <w:r>
        <w:rPr>
          <w:rFonts w:ascii="Times New Roman"/>
          <w:b w:val="false"/>
          <w:i w:val="false"/>
          <w:color w:val="000000"/>
          <w:sz w:val="28"/>
        </w:rPr>
        <w:t>
      В зависимости от операций банка применяются следующие методы контроля:</w:t>
      </w:r>
    </w:p>
    <w:bookmarkEnd w:id="1569"/>
    <w:bookmarkStart w:name="z1315" w:id="1570"/>
    <w:p>
      <w:pPr>
        <w:spacing w:after="0"/>
        <w:ind w:left="0"/>
        <w:jc w:val="both"/>
      </w:pPr>
      <w:r>
        <w:rPr>
          <w:rFonts w:ascii="Times New Roman"/>
          <w:b w:val="false"/>
          <w:i w:val="false"/>
          <w:color w:val="000000"/>
          <w:sz w:val="28"/>
        </w:rPr>
        <w:t>
      двойной контроль (принцип "четырех глаз" и "совместного доступа").</w:t>
      </w:r>
    </w:p>
    <w:bookmarkEnd w:id="1570"/>
    <w:bookmarkStart w:name="z1316" w:id="1571"/>
    <w:p>
      <w:pPr>
        <w:spacing w:after="0"/>
        <w:ind w:left="0"/>
        <w:jc w:val="both"/>
      </w:pPr>
      <w:r>
        <w:rPr>
          <w:rFonts w:ascii="Times New Roman"/>
          <w:b w:val="false"/>
          <w:i w:val="false"/>
          <w:color w:val="000000"/>
          <w:sz w:val="28"/>
        </w:rPr>
        <w:t>
      Принцип "четырех глаз" требует, чтобы работа одного работника была проверена (одобрена) другим работником с целью вовлечения второго работника в проверку правильности расчета, санкционирования и документирования операции.</w:t>
      </w:r>
    </w:p>
    <w:bookmarkEnd w:id="1571"/>
    <w:bookmarkStart w:name="z1317" w:id="1572"/>
    <w:p>
      <w:pPr>
        <w:spacing w:after="0"/>
        <w:ind w:left="0"/>
        <w:jc w:val="both"/>
      </w:pPr>
      <w:r>
        <w:rPr>
          <w:rFonts w:ascii="Times New Roman"/>
          <w:b w:val="false"/>
          <w:i w:val="false"/>
          <w:color w:val="000000"/>
          <w:sz w:val="28"/>
        </w:rPr>
        <w:t>
      Принцип "совместного доступа" предполагает процедуру, при которой 2 (два) или более работников в одинаковой мере ответственны за физическую защиту ценностей и документов. Ответственность устанавливается соответствующим внутренним документом банка и доводится до сведения всех работников;</w:t>
      </w:r>
    </w:p>
    <w:bookmarkEnd w:id="1572"/>
    <w:bookmarkStart w:name="z1318" w:id="1573"/>
    <w:p>
      <w:pPr>
        <w:spacing w:after="0"/>
        <w:ind w:left="0"/>
        <w:jc w:val="both"/>
      </w:pPr>
      <w:r>
        <w:rPr>
          <w:rFonts w:ascii="Times New Roman"/>
          <w:b w:val="false"/>
          <w:i w:val="false"/>
          <w:color w:val="000000"/>
          <w:sz w:val="28"/>
        </w:rPr>
        <w:t>
      анализ операций.</w:t>
      </w:r>
    </w:p>
    <w:bookmarkEnd w:id="1573"/>
    <w:bookmarkStart w:name="z1319" w:id="1574"/>
    <w:p>
      <w:pPr>
        <w:spacing w:after="0"/>
        <w:ind w:left="0"/>
        <w:jc w:val="both"/>
      </w:pPr>
      <w:r>
        <w:rPr>
          <w:rFonts w:ascii="Times New Roman"/>
          <w:b w:val="false"/>
          <w:i w:val="false"/>
          <w:color w:val="000000"/>
          <w:sz w:val="28"/>
        </w:rPr>
        <w:t>
      Предварительный анализ операции на предмет предупреждения неправильной или несанкционированной операции.</w:t>
      </w:r>
    </w:p>
    <w:bookmarkEnd w:id="1574"/>
    <w:bookmarkStart w:name="z1320" w:id="1575"/>
    <w:p>
      <w:pPr>
        <w:spacing w:after="0"/>
        <w:ind w:left="0"/>
        <w:jc w:val="both"/>
      </w:pPr>
      <w:r>
        <w:rPr>
          <w:rFonts w:ascii="Times New Roman"/>
          <w:b w:val="false"/>
          <w:i w:val="false"/>
          <w:color w:val="000000"/>
          <w:sz w:val="28"/>
        </w:rPr>
        <w:t>
      Последующий анализ после ее совершения с целью вскрытия факта проведения несанкционированной операции.</w:t>
      </w:r>
    </w:p>
    <w:bookmarkEnd w:id="1575"/>
    <w:bookmarkStart w:name="z1321" w:id="1576"/>
    <w:p>
      <w:pPr>
        <w:spacing w:after="0"/>
        <w:ind w:left="0"/>
        <w:jc w:val="both"/>
      </w:pPr>
      <w:r>
        <w:rPr>
          <w:rFonts w:ascii="Times New Roman"/>
          <w:b w:val="false"/>
          <w:i w:val="false"/>
          <w:color w:val="000000"/>
          <w:sz w:val="28"/>
        </w:rPr>
        <w:t>
      Для обеспечения эффективности последующего анализа необходимо, чтобы лицо, осуществляющее последующий анализ было независимо от работников, проводящих эту операцию;</w:t>
      </w:r>
    </w:p>
    <w:bookmarkEnd w:id="1576"/>
    <w:bookmarkStart w:name="z1322" w:id="1577"/>
    <w:p>
      <w:pPr>
        <w:spacing w:after="0"/>
        <w:ind w:left="0"/>
        <w:jc w:val="both"/>
      </w:pPr>
      <w:r>
        <w:rPr>
          <w:rFonts w:ascii="Times New Roman"/>
          <w:b w:val="false"/>
          <w:i w:val="false"/>
          <w:color w:val="000000"/>
          <w:sz w:val="28"/>
        </w:rPr>
        <w:t>
      отчеты о результатах операций для обеспечения руководства банка информацией о показателях работы банка, финансовых условиях и отклонениях от бюджета;</w:t>
      </w:r>
    </w:p>
    <w:bookmarkEnd w:id="1577"/>
    <w:bookmarkStart w:name="z1323" w:id="1578"/>
    <w:p>
      <w:pPr>
        <w:spacing w:after="0"/>
        <w:ind w:left="0"/>
        <w:jc w:val="both"/>
      </w:pPr>
      <w:r>
        <w:rPr>
          <w:rFonts w:ascii="Times New Roman"/>
          <w:b w:val="false"/>
          <w:i w:val="false"/>
          <w:color w:val="000000"/>
          <w:sz w:val="28"/>
        </w:rPr>
        <w:t>
      обучение персонала банка приемам контроля и выявления ошибок;</w:t>
      </w:r>
    </w:p>
    <w:bookmarkEnd w:id="1578"/>
    <w:bookmarkStart w:name="z1324" w:id="1579"/>
    <w:p>
      <w:pPr>
        <w:spacing w:after="0"/>
        <w:ind w:left="0"/>
        <w:jc w:val="both"/>
      </w:pPr>
      <w:r>
        <w:rPr>
          <w:rFonts w:ascii="Times New Roman"/>
          <w:b w:val="false"/>
          <w:i w:val="false"/>
          <w:color w:val="000000"/>
          <w:sz w:val="28"/>
        </w:rPr>
        <w:t>
      обеспечение защиты данных;</w:t>
      </w:r>
    </w:p>
    <w:bookmarkEnd w:id="1579"/>
    <w:bookmarkStart w:name="z1325" w:id="1580"/>
    <w:p>
      <w:pPr>
        <w:spacing w:after="0"/>
        <w:ind w:left="0"/>
        <w:jc w:val="both"/>
      </w:pPr>
      <w:r>
        <w:rPr>
          <w:rFonts w:ascii="Times New Roman"/>
          <w:b w:val="false"/>
          <w:i w:val="false"/>
          <w:color w:val="000000"/>
          <w:sz w:val="28"/>
        </w:rPr>
        <w:t>
      обеспечение защиты от ошибок персонала;</w:t>
      </w:r>
    </w:p>
    <w:bookmarkEnd w:id="1580"/>
    <w:bookmarkStart w:name="z1326" w:id="1581"/>
    <w:p>
      <w:pPr>
        <w:spacing w:after="0"/>
        <w:ind w:left="0"/>
        <w:jc w:val="both"/>
      </w:pPr>
      <w:r>
        <w:rPr>
          <w:rFonts w:ascii="Times New Roman"/>
          <w:b w:val="false"/>
          <w:i w:val="false"/>
          <w:color w:val="000000"/>
          <w:sz w:val="28"/>
        </w:rPr>
        <w:t>
      проверка на наличие ошибок в целях их своевременного обнаружения.</w:t>
      </w:r>
    </w:p>
    <w:bookmarkEnd w:id="1581"/>
    <w:bookmarkStart w:name="z1327" w:id="1582"/>
    <w:p>
      <w:pPr>
        <w:spacing w:after="0"/>
        <w:ind w:left="0"/>
        <w:jc w:val="both"/>
      </w:pPr>
      <w:r>
        <w:rPr>
          <w:rFonts w:ascii="Times New Roman"/>
          <w:b w:val="false"/>
          <w:i w:val="false"/>
          <w:color w:val="000000"/>
          <w:sz w:val="28"/>
        </w:rPr>
        <w:t>
      105. С позиции внутреннего контроля обеспечивается наличие достоверной и подробной информации финансового, операционного характера и сведений о соблюдении установленных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поступающей внешней рыночной информации о событиях и условиях, имеющих отношение к принятию решений. Сбор, анализ информации и передача ее по назначению предполагает обеспечение:</w:t>
      </w:r>
    </w:p>
    <w:bookmarkEnd w:id="1582"/>
    <w:bookmarkStart w:name="z1328" w:id="1583"/>
    <w:p>
      <w:pPr>
        <w:spacing w:after="0"/>
        <w:ind w:left="0"/>
        <w:jc w:val="both"/>
      </w:pPr>
      <w:r>
        <w:rPr>
          <w:rFonts w:ascii="Times New Roman"/>
          <w:b w:val="false"/>
          <w:i w:val="false"/>
          <w:color w:val="000000"/>
          <w:sz w:val="28"/>
        </w:rPr>
        <w:t>
      1) совета директоров банка, правления банка и лиц (подразделений, органов банка), определенных в соответствующих внутренних документах, информацией для принятия решений и исполнения своих обязанностей;</w:t>
      </w:r>
    </w:p>
    <w:bookmarkEnd w:id="1583"/>
    <w:bookmarkStart w:name="z1329" w:id="1584"/>
    <w:p>
      <w:pPr>
        <w:spacing w:after="0"/>
        <w:ind w:left="0"/>
        <w:jc w:val="both"/>
      </w:pPr>
      <w:r>
        <w:rPr>
          <w:rFonts w:ascii="Times New Roman"/>
          <w:b w:val="false"/>
          <w:i w:val="false"/>
          <w:color w:val="000000"/>
          <w:sz w:val="28"/>
        </w:rPr>
        <w:t>
      2) наличия информационных потоков, обеспечивающих целостность, безопасность и доступность информации внутри и вне банка;</w:t>
      </w:r>
    </w:p>
    <w:bookmarkEnd w:id="1584"/>
    <w:bookmarkStart w:name="z1330" w:id="1585"/>
    <w:p>
      <w:pPr>
        <w:spacing w:after="0"/>
        <w:ind w:left="0"/>
        <w:jc w:val="both"/>
      </w:pPr>
      <w:r>
        <w:rPr>
          <w:rFonts w:ascii="Times New Roman"/>
          <w:b w:val="false"/>
          <w:i w:val="false"/>
          <w:color w:val="000000"/>
          <w:sz w:val="28"/>
        </w:rPr>
        <w:t>
      3) адекватного контроля за управлением информационными потоками и информационной безопасностью банка.</w:t>
      </w:r>
    </w:p>
    <w:bookmarkEnd w:id="1585"/>
    <w:bookmarkStart w:name="z1331" w:id="1586"/>
    <w:p>
      <w:pPr>
        <w:spacing w:after="0"/>
        <w:ind w:left="0"/>
        <w:jc w:val="both"/>
      </w:pPr>
      <w:r>
        <w:rPr>
          <w:rFonts w:ascii="Times New Roman"/>
          <w:b w:val="false"/>
          <w:i w:val="false"/>
          <w:color w:val="000000"/>
          <w:sz w:val="28"/>
        </w:rPr>
        <w:t>
      Внутренний контроль функционирования информационных систем и технических средств предусматривает контроль информационно-технологических систем, проводимый с целью обеспечения их защищенности, бесперебойной и непрерывной работы.</w:t>
      </w:r>
    </w:p>
    <w:bookmarkEnd w:id="1586"/>
    <w:bookmarkStart w:name="z1332" w:id="1587"/>
    <w:p>
      <w:pPr>
        <w:spacing w:after="0"/>
        <w:ind w:left="0"/>
        <w:jc w:val="both"/>
      </w:pPr>
      <w:r>
        <w:rPr>
          <w:rFonts w:ascii="Times New Roman"/>
          <w:b w:val="false"/>
          <w:i w:val="false"/>
          <w:color w:val="000000"/>
          <w:sz w:val="28"/>
        </w:rPr>
        <w:t>
      С позиции внутреннего контроля обеспечивается обязательный учет всех операций и сделок банка.</w:t>
      </w:r>
    </w:p>
    <w:bookmarkEnd w:id="1587"/>
    <w:bookmarkStart w:name="z1333" w:id="1588"/>
    <w:p>
      <w:pPr>
        <w:spacing w:after="0"/>
        <w:ind w:left="0"/>
        <w:jc w:val="both"/>
      </w:pPr>
      <w:r>
        <w:rPr>
          <w:rFonts w:ascii="Times New Roman"/>
          <w:b w:val="false"/>
          <w:i w:val="false"/>
          <w:color w:val="000000"/>
          <w:sz w:val="28"/>
        </w:rPr>
        <w:t>
      Контроль обеспечения своевременности, достоверности и достаточности финансовой информации банка требует проверки следующего (но, не ограничиваясь ими):</w:t>
      </w:r>
    </w:p>
    <w:bookmarkEnd w:id="1588"/>
    <w:bookmarkStart w:name="z1334" w:id="1589"/>
    <w:p>
      <w:pPr>
        <w:spacing w:after="0"/>
        <w:ind w:left="0"/>
        <w:jc w:val="both"/>
      </w:pPr>
      <w:r>
        <w:rPr>
          <w:rFonts w:ascii="Times New Roman"/>
          <w:b w:val="false"/>
          <w:i w:val="false"/>
          <w:color w:val="000000"/>
          <w:sz w:val="28"/>
        </w:rPr>
        <w:t>
      информационных систем, обеспечивающих ведение бухгалтерского учета в банке на предмет соответствия законодательству Республики Казахстан в области бухгалтерского учета и финансовой отчетности и МСФО;</w:t>
      </w:r>
    </w:p>
    <w:bookmarkEnd w:id="1589"/>
    <w:bookmarkStart w:name="z1335" w:id="1590"/>
    <w:p>
      <w:pPr>
        <w:spacing w:after="0"/>
        <w:ind w:left="0"/>
        <w:jc w:val="both"/>
      </w:pPr>
      <w:r>
        <w:rPr>
          <w:rFonts w:ascii="Times New Roman"/>
          <w:b w:val="false"/>
          <w:i w:val="false"/>
          <w:color w:val="000000"/>
          <w:sz w:val="28"/>
        </w:rPr>
        <w:t>
      наличия в банке внутренних документов по вопросам ведения бухгалтерского учета;</w:t>
      </w:r>
    </w:p>
    <w:bookmarkEnd w:id="1590"/>
    <w:bookmarkStart w:name="z1336" w:id="1591"/>
    <w:p>
      <w:pPr>
        <w:spacing w:after="0"/>
        <w:ind w:left="0"/>
        <w:jc w:val="both"/>
      </w:pPr>
      <w:r>
        <w:rPr>
          <w:rFonts w:ascii="Times New Roman"/>
          <w:b w:val="false"/>
          <w:i w:val="false"/>
          <w:color w:val="000000"/>
          <w:sz w:val="28"/>
        </w:rPr>
        <w:t>
      обеспечения хронологической и своевременной регистрации операций и событий в бухгалтерском учете;</w:t>
      </w:r>
    </w:p>
    <w:bookmarkEnd w:id="1591"/>
    <w:bookmarkStart w:name="z1337" w:id="1592"/>
    <w:p>
      <w:pPr>
        <w:spacing w:after="0"/>
        <w:ind w:left="0"/>
        <w:jc w:val="both"/>
      </w:pPr>
      <w:r>
        <w:rPr>
          <w:rFonts w:ascii="Times New Roman"/>
          <w:b w:val="false"/>
          <w:i w:val="false"/>
          <w:color w:val="000000"/>
          <w:sz w:val="28"/>
        </w:rPr>
        <w:t>
      обеспечения возможности формирования финансовой отчетности по состоянию на конец каждого операционного дня;</w:t>
      </w:r>
    </w:p>
    <w:bookmarkEnd w:id="1592"/>
    <w:bookmarkStart w:name="z1338" w:id="1593"/>
    <w:p>
      <w:pPr>
        <w:spacing w:after="0"/>
        <w:ind w:left="0"/>
        <w:jc w:val="both"/>
      </w:pPr>
      <w:r>
        <w:rPr>
          <w:rFonts w:ascii="Times New Roman"/>
          <w:b w:val="false"/>
          <w:i w:val="false"/>
          <w:color w:val="000000"/>
          <w:sz w:val="28"/>
        </w:rPr>
        <w:t>
      соответствия синтетического (итогового) учета аналитическому (детальному) учету;</w:t>
      </w:r>
    </w:p>
    <w:bookmarkEnd w:id="1593"/>
    <w:bookmarkStart w:name="z1339" w:id="1594"/>
    <w:p>
      <w:pPr>
        <w:spacing w:after="0"/>
        <w:ind w:left="0"/>
        <w:jc w:val="both"/>
      </w:pPr>
      <w:r>
        <w:rPr>
          <w:rFonts w:ascii="Times New Roman"/>
          <w:b w:val="false"/>
          <w:i w:val="false"/>
          <w:color w:val="000000"/>
          <w:sz w:val="28"/>
        </w:rPr>
        <w:t>
      осуществления регулярных проверок бухгалтерских записей работниками, которые не вовлечены в процесс санкционирования или отражения операций в финансовой отчетности;</w:t>
      </w:r>
    </w:p>
    <w:bookmarkEnd w:id="1594"/>
    <w:bookmarkStart w:name="z1340" w:id="1595"/>
    <w:p>
      <w:pPr>
        <w:spacing w:after="0"/>
        <w:ind w:left="0"/>
        <w:jc w:val="both"/>
      </w:pPr>
      <w:r>
        <w:rPr>
          <w:rFonts w:ascii="Times New Roman"/>
          <w:b w:val="false"/>
          <w:i w:val="false"/>
          <w:color w:val="000000"/>
          <w:sz w:val="28"/>
        </w:rPr>
        <w:t>
      осуществления бухгалтерских записей на основании первичных документов и обеспечения надлежащего оформления и сохранности первичных документов.</w:t>
      </w:r>
    </w:p>
    <w:bookmarkEnd w:id="1595"/>
    <w:bookmarkStart w:name="z1341" w:id="1596"/>
    <w:p>
      <w:pPr>
        <w:spacing w:after="0"/>
        <w:ind w:left="0"/>
        <w:jc w:val="both"/>
      </w:pPr>
      <w:r>
        <w:rPr>
          <w:rFonts w:ascii="Times New Roman"/>
          <w:b w:val="false"/>
          <w:i w:val="false"/>
          <w:color w:val="000000"/>
          <w:sz w:val="28"/>
        </w:rPr>
        <w:t>
      106. Мониторинг системы внутреннего контроля банка на постоянной основе осуществляется первой и второй линией защиты, а также правлением банка.</w:t>
      </w:r>
    </w:p>
    <w:bookmarkEnd w:id="1596"/>
    <w:bookmarkStart w:name="z1342" w:id="1597"/>
    <w:p>
      <w:pPr>
        <w:spacing w:after="0"/>
        <w:ind w:left="0"/>
        <w:jc w:val="both"/>
      </w:pPr>
      <w:r>
        <w:rPr>
          <w:rFonts w:ascii="Times New Roman"/>
          <w:b w:val="false"/>
          <w:i w:val="false"/>
          <w:color w:val="000000"/>
          <w:sz w:val="28"/>
        </w:rPr>
        <w:t>
      Существенные недостатки внутреннего контроля доводятся до сведения совета директоров банка.</w:t>
      </w:r>
    </w:p>
    <w:bookmarkEnd w:id="1597"/>
    <w:bookmarkStart w:name="z1343" w:id="1598"/>
    <w:p>
      <w:pPr>
        <w:spacing w:after="0"/>
        <w:ind w:left="0"/>
        <w:jc w:val="both"/>
      </w:pPr>
      <w:r>
        <w:rPr>
          <w:rFonts w:ascii="Times New Roman"/>
          <w:b w:val="false"/>
          <w:i w:val="false"/>
          <w:color w:val="000000"/>
          <w:sz w:val="28"/>
        </w:rPr>
        <w:t>
      Подразделение внутреннего аудита проводит оценку эффективности внутреннего контроля.</w:t>
      </w:r>
    </w:p>
    <w:bookmarkEnd w:id="1598"/>
    <w:bookmarkStart w:name="z1344" w:id="1599"/>
    <w:p>
      <w:pPr>
        <w:spacing w:after="0"/>
        <w:ind w:left="0"/>
        <w:jc w:val="both"/>
      </w:pPr>
      <w:r>
        <w:rPr>
          <w:rFonts w:ascii="Times New Roman"/>
          <w:b w:val="false"/>
          <w:i w:val="false"/>
          <w:color w:val="000000"/>
          <w:sz w:val="28"/>
        </w:rPr>
        <w:t>
      Комитет по вопросам управления рисками осуществляет контроль над функционированием системы внутреннего контроля.</w:t>
      </w:r>
    </w:p>
    <w:bookmarkEnd w:id="1599"/>
    <w:bookmarkStart w:name="z1345" w:id="1600"/>
    <w:p>
      <w:pPr>
        <w:spacing w:after="0"/>
        <w:ind w:left="0"/>
        <w:jc w:val="both"/>
      </w:pPr>
      <w:r>
        <w:rPr>
          <w:rFonts w:ascii="Times New Roman"/>
          <w:b w:val="false"/>
          <w:i w:val="false"/>
          <w:color w:val="000000"/>
          <w:sz w:val="28"/>
        </w:rPr>
        <w:t>
      107. Управленческая отчетность банка по внутреннему контролю включает в себя информацию о существенных нарушениях и недостатках, выявленных в процессе осуществления внутреннего контроля, а также о результатах принятых решений или мер по их устранению.</w:t>
      </w:r>
    </w:p>
    <w:bookmarkEnd w:id="1600"/>
    <w:bookmarkStart w:name="z1346" w:id="1601"/>
    <w:p>
      <w:pPr>
        <w:spacing w:after="0"/>
        <w:ind w:left="0"/>
        <w:jc w:val="left"/>
      </w:pPr>
      <w:r>
        <w:rPr>
          <w:rFonts w:ascii="Times New Roman"/>
          <w:b/>
          <w:i w:val="false"/>
          <w:color w:val="000000"/>
        </w:rPr>
        <w:t xml:space="preserve"> Глава 12. Внутренний аудит</w:t>
      </w:r>
    </w:p>
    <w:bookmarkEnd w:id="1601"/>
    <w:bookmarkStart w:name="z1347" w:id="1602"/>
    <w:p>
      <w:pPr>
        <w:spacing w:after="0"/>
        <w:ind w:left="0"/>
        <w:jc w:val="both"/>
      </w:pPr>
      <w:r>
        <w:rPr>
          <w:rFonts w:ascii="Times New Roman"/>
          <w:b w:val="false"/>
          <w:i w:val="false"/>
          <w:color w:val="000000"/>
          <w:sz w:val="28"/>
        </w:rPr>
        <w:t>
      108. Банк обеспечивает функционирование внутреннего аудита учитывающего стратегию, организационную структуру, объем активов, характер и уровень сложности операций банка. Подразделение внутреннего аудита имеет четко определенные полномочия, независимо в своей деятельности, подотчетно совету директоров банка. Подразделение внутреннего аудита располагает достаточными ресурсами и полномочиями для выполнения объективно и качественно своих функций и обязанностей.</w:t>
      </w:r>
    </w:p>
    <w:bookmarkEnd w:id="1602"/>
    <w:bookmarkStart w:name="z1348" w:id="1603"/>
    <w:p>
      <w:pPr>
        <w:spacing w:after="0"/>
        <w:ind w:left="0"/>
        <w:jc w:val="both"/>
      </w:pPr>
      <w:r>
        <w:rPr>
          <w:rFonts w:ascii="Times New Roman"/>
          <w:b w:val="false"/>
          <w:i w:val="false"/>
          <w:color w:val="000000"/>
          <w:sz w:val="28"/>
        </w:rPr>
        <w:t>
      Руководитель и работники подразделения внутреннего аудита не занимают иную должность, не являются членами коллегиального органа банка и не совмещают обязанности в банке и (или) дочерних организациях.</w:t>
      </w:r>
    </w:p>
    <w:bookmarkEnd w:id="1603"/>
    <w:bookmarkStart w:name="z1349" w:id="1604"/>
    <w:p>
      <w:pPr>
        <w:spacing w:after="0"/>
        <w:ind w:left="0"/>
        <w:jc w:val="both"/>
      </w:pPr>
      <w:r>
        <w:rPr>
          <w:rFonts w:ascii="Times New Roman"/>
          <w:b w:val="false"/>
          <w:i w:val="false"/>
          <w:color w:val="000000"/>
          <w:sz w:val="28"/>
        </w:rPr>
        <w:t>
      Подразделение внутреннего аудита руководствуется в своей деятельности международными стандартами внутреннего аудита.</w:t>
      </w:r>
    </w:p>
    <w:bookmarkEnd w:id="1604"/>
    <w:bookmarkStart w:name="z1350" w:id="1605"/>
    <w:p>
      <w:pPr>
        <w:spacing w:after="0"/>
        <w:ind w:left="0"/>
        <w:jc w:val="both"/>
      </w:pPr>
      <w:r>
        <w:rPr>
          <w:rFonts w:ascii="Times New Roman"/>
          <w:b w:val="false"/>
          <w:i w:val="false"/>
          <w:color w:val="000000"/>
          <w:sz w:val="28"/>
        </w:rPr>
        <w:t>
      109. Совет директоров банка и комитет по вопросам внутреннего аудита способствуют повышению эффективности работы подразделения внутреннего аудита посредством:</w:t>
      </w:r>
    </w:p>
    <w:bookmarkEnd w:id="1605"/>
    <w:bookmarkStart w:name="z1351" w:id="1606"/>
    <w:p>
      <w:pPr>
        <w:spacing w:after="0"/>
        <w:ind w:left="0"/>
        <w:jc w:val="both"/>
      </w:pPr>
      <w:r>
        <w:rPr>
          <w:rFonts w:ascii="Times New Roman"/>
          <w:b w:val="false"/>
          <w:i w:val="false"/>
          <w:color w:val="000000"/>
          <w:sz w:val="28"/>
        </w:rPr>
        <w:t>
      1) обеспечения неограниченного доступа работников подразделения внутреннего аудита к любым документам, информации и объектам банка, включая доступ к системам, записям и протоколам заседаний коллегиальных органов банка;</w:t>
      </w:r>
    </w:p>
    <w:bookmarkEnd w:id="1606"/>
    <w:bookmarkStart w:name="z1352" w:id="1607"/>
    <w:p>
      <w:pPr>
        <w:spacing w:after="0"/>
        <w:ind w:left="0"/>
        <w:jc w:val="both"/>
      </w:pPr>
      <w:r>
        <w:rPr>
          <w:rFonts w:ascii="Times New Roman"/>
          <w:b w:val="false"/>
          <w:i w:val="false"/>
          <w:color w:val="000000"/>
          <w:sz w:val="28"/>
        </w:rPr>
        <w:t>
      2) установления требований к проведению подразделением внутреннего аудита независимой оценки эффективности системы внутреннего контроля, системы управления рисками, корпоративного управления по всем направлениям деятельности банка;</w:t>
      </w:r>
    </w:p>
    <w:bookmarkEnd w:id="1607"/>
    <w:bookmarkStart w:name="z1353" w:id="1608"/>
    <w:p>
      <w:pPr>
        <w:spacing w:after="0"/>
        <w:ind w:left="0"/>
        <w:jc w:val="both"/>
      </w:pPr>
      <w:r>
        <w:rPr>
          <w:rFonts w:ascii="Times New Roman"/>
          <w:b w:val="false"/>
          <w:i w:val="false"/>
          <w:color w:val="000000"/>
          <w:sz w:val="28"/>
        </w:rPr>
        <w:t>
      3) установления требования к внутренним аудиторам соблюдать кодекс этики и требования банковского законодательства Республики Казахстан, законодательства Республики Казахстан об акционерных обществах;</w:t>
      </w:r>
    </w:p>
    <w:bookmarkEnd w:id="1608"/>
    <w:bookmarkStart w:name="z1354" w:id="1609"/>
    <w:p>
      <w:pPr>
        <w:spacing w:after="0"/>
        <w:ind w:left="0"/>
        <w:jc w:val="both"/>
      </w:pPr>
      <w:r>
        <w:rPr>
          <w:rFonts w:ascii="Times New Roman"/>
          <w:b w:val="false"/>
          <w:i w:val="false"/>
          <w:color w:val="000000"/>
          <w:sz w:val="28"/>
        </w:rPr>
        <w:t>
      4) установления требований для работников подразделения внутреннего аудита по наличию достаточных знаний о банковской деятельности и методах внутреннего аудита, навыков сбора необходимой и достаточной информации, умения проводить анализ и оценку для выполнения своих должностных обязанностей;</w:t>
      </w:r>
    </w:p>
    <w:bookmarkEnd w:id="1609"/>
    <w:bookmarkStart w:name="z1355" w:id="1610"/>
    <w:p>
      <w:pPr>
        <w:spacing w:after="0"/>
        <w:ind w:left="0"/>
        <w:jc w:val="both"/>
      </w:pPr>
      <w:r>
        <w:rPr>
          <w:rFonts w:ascii="Times New Roman"/>
          <w:b w:val="false"/>
          <w:i w:val="false"/>
          <w:color w:val="000000"/>
          <w:sz w:val="28"/>
        </w:rPr>
        <w:t>
      5) установления требований для правления банка своевременно и эффективно реализовывать план мероприятий по устранению нарушений и недостатков, выявленных в результате аудиторской проверки;</w:t>
      </w:r>
    </w:p>
    <w:bookmarkEnd w:id="1610"/>
    <w:bookmarkStart w:name="z1356" w:id="1611"/>
    <w:p>
      <w:pPr>
        <w:spacing w:after="0"/>
        <w:ind w:left="0"/>
        <w:jc w:val="both"/>
      </w:pPr>
      <w:r>
        <w:rPr>
          <w:rFonts w:ascii="Times New Roman"/>
          <w:b w:val="false"/>
          <w:i w:val="false"/>
          <w:color w:val="000000"/>
          <w:sz w:val="28"/>
        </w:rPr>
        <w:t>
      6) требования проводить периодическую оценку эффективности системы управления рисками банка, внутреннего порядка ведения бухгалтерского учета, составления и обеспечения целостности финансовой и регуляторной отчетности, системы управления комплаенс-рисками, системы внутреннего контроля.</w:t>
      </w:r>
    </w:p>
    <w:bookmarkEnd w:id="1611"/>
    <w:bookmarkStart w:name="z1357" w:id="1612"/>
    <w:p>
      <w:pPr>
        <w:spacing w:after="0"/>
        <w:ind w:left="0"/>
        <w:jc w:val="both"/>
      </w:pPr>
      <w:r>
        <w:rPr>
          <w:rFonts w:ascii="Times New Roman"/>
          <w:b w:val="false"/>
          <w:i w:val="false"/>
          <w:color w:val="000000"/>
          <w:sz w:val="28"/>
        </w:rPr>
        <w:t>
      Подразделение внутреннего аудита осуществляет независимую, всестороннюю оценку эффективности систем корпоративного управления, внутреннего контроля, управления рисками.</w:t>
      </w:r>
    </w:p>
    <w:bookmarkEnd w:id="1612"/>
    <w:bookmarkStart w:name="z1358" w:id="1613"/>
    <w:p>
      <w:pPr>
        <w:spacing w:after="0"/>
        <w:ind w:left="0"/>
        <w:jc w:val="both"/>
      </w:pPr>
      <w:r>
        <w:rPr>
          <w:rFonts w:ascii="Times New Roman"/>
          <w:b w:val="false"/>
          <w:i w:val="false"/>
          <w:color w:val="000000"/>
          <w:sz w:val="28"/>
        </w:rPr>
        <w:t>
      Подразделение внутреннего аудита использует риск-ориентированный подход при разработке своих планов и действий, формирует независимое, обоснованное мнение относительно рисков, присущих деятельности банка, проводит соответствующие оценки внутренних процессов.</w:t>
      </w:r>
    </w:p>
    <w:bookmarkEnd w:id="1613"/>
    <w:bookmarkStart w:name="z1359" w:id="1614"/>
    <w:p>
      <w:pPr>
        <w:spacing w:after="0"/>
        <w:ind w:left="0"/>
        <w:jc w:val="both"/>
      </w:pPr>
      <w:r>
        <w:rPr>
          <w:rFonts w:ascii="Times New Roman"/>
          <w:b w:val="false"/>
          <w:i w:val="false"/>
          <w:color w:val="000000"/>
          <w:sz w:val="28"/>
        </w:rPr>
        <w:t>
      110. Эффективная деятельность подразделения внутреннего аудита основана на следующих принципах:</w:t>
      </w:r>
    </w:p>
    <w:bookmarkEnd w:id="1614"/>
    <w:bookmarkStart w:name="z1360" w:id="1615"/>
    <w:p>
      <w:pPr>
        <w:spacing w:after="0"/>
        <w:ind w:left="0"/>
        <w:jc w:val="both"/>
      </w:pPr>
      <w:r>
        <w:rPr>
          <w:rFonts w:ascii="Times New Roman"/>
          <w:b w:val="false"/>
          <w:i w:val="false"/>
          <w:color w:val="000000"/>
          <w:sz w:val="28"/>
        </w:rPr>
        <w:t>
      1) независимость и объективность, которые достигаются посредством следующего:</w:t>
      </w:r>
    </w:p>
    <w:bookmarkEnd w:id="1615"/>
    <w:bookmarkStart w:name="z1361" w:id="1616"/>
    <w:p>
      <w:pPr>
        <w:spacing w:after="0"/>
        <w:ind w:left="0"/>
        <w:jc w:val="both"/>
      </w:pPr>
      <w:r>
        <w:rPr>
          <w:rFonts w:ascii="Times New Roman"/>
          <w:b w:val="false"/>
          <w:i w:val="false"/>
          <w:color w:val="000000"/>
          <w:sz w:val="28"/>
        </w:rPr>
        <w:t>
      проведение аудита в любых подразделениях банка и по любым направлениям деятельности на основе риск-ориентированного подхода;</w:t>
      </w:r>
    </w:p>
    <w:bookmarkEnd w:id="1616"/>
    <w:bookmarkStart w:name="z1362" w:id="1617"/>
    <w:p>
      <w:pPr>
        <w:spacing w:after="0"/>
        <w:ind w:left="0"/>
        <w:jc w:val="both"/>
      </w:pPr>
      <w:r>
        <w:rPr>
          <w:rFonts w:ascii="Times New Roman"/>
          <w:b w:val="false"/>
          <w:i w:val="false"/>
          <w:color w:val="000000"/>
          <w:sz w:val="28"/>
        </w:rPr>
        <w:t>
      отсутствие вовлеченности подразделения внутреннего аудита в разработку, внедрение и применение мер внутреннего контроля;</w:t>
      </w:r>
    </w:p>
    <w:bookmarkEnd w:id="1617"/>
    <w:bookmarkStart w:name="z1363" w:id="1618"/>
    <w:p>
      <w:pPr>
        <w:spacing w:after="0"/>
        <w:ind w:left="0"/>
        <w:jc w:val="both"/>
      </w:pPr>
      <w:r>
        <w:rPr>
          <w:rFonts w:ascii="Times New Roman"/>
          <w:b w:val="false"/>
          <w:i w:val="false"/>
          <w:color w:val="000000"/>
          <w:sz w:val="28"/>
        </w:rPr>
        <w:t xml:space="preserve">
      отсутствие конфликта интересов в деятельности работников подразделения внутреннего аудита; </w:t>
      </w:r>
    </w:p>
    <w:bookmarkEnd w:id="1618"/>
    <w:bookmarkStart w:name="z1364" w:id="1619"/>
    <w:p>
      <w:pPr>
        <w:spacing w:after="0"/>
        <w:ind w:left="0"/>
        <w:jc w:val="both"/>
      </w:pPr>
      <w:r>
        <w:rPr>
          <w:rFonts w:ascii="Times New Roman"/>
          <w:b w:val="false"/>
          <w:i w:val="false"/>
          <w:color w:val="000000"/>
          <w:sz w:val="28"/>
        </w:rPr>
        <w:t>
      осуществление ротации выполняемых обязанностей между работниками подразделения внутреннего аудита при возможности проведения таковой без ущерба для компетентности и профессионализма работников;</w:t>
      </w:r>
    </w:p>
    <w:bookmarkEnd w:id="1619"/>
    <w:bookmarkStart w:name="z1365" w:id="1620"/>
    <w:p>
      <w:pPr>
        <w:spacing w:after="0"/>
        <w:ind w:left="0"/>
        <w:jc w:val="both"/>
      </w:pPr>
      <w:r>
        <w:rPr>
          <w:rFonts w:ascii="Times New Roman"/>
          <w:b w:val="false"/>
          <w:i w:val="false"/>
          <w:color w:val="000000"/>
          <w:sz w:val="28"/>
        </w:rPr>
        <w:t>
      отсутствие связи между вознаграждением работников подразделения внутреннего аудита и финансовых результатов деятельности структурных подразделений банка. Премиальная часть вознаграждения руководителя и работников подразделения внутреннего аудита устанавливается таким образом, чтобы исключить возникновение конфликта интересов и не ставить под сомнение независимость и объективность подразделения внутреннего аудита;</w:t>
      </w:r>
    </w:p>
    <w:bookmarkEnd w:id="1620"/>
    <w:bookmarkStart w:name="z1366" w:id="1621"/>
    <w:p>
      <w:pPr>
        <w:spacing w:after="0"/>
        <w:ind w:left="0"/>
        <w:jc w:val="both"/>
      </w:pPr>
      <w:r>
        <w:rPr>
          <w:rFonts w:ascii="Times New Roman"/>
          <w:b w:val="false"/>
          <w:i w:val="false"/>
          <w:color w:val="000000"/>
          <w:sz w:val="28"/>
        </w:rPr>
        <w:t>
      предоставление отчетов подразделения внутреннего аудита на рассмотрение совету директоров и комитету по вопросам внутреннего аудита, на ознакомление без права корректировки таких отчетов – правлению банка;</w:t>
      </w:r>
    </w:p>
    <w:bookmarkEnd w:id="1621"/>
    <w:bookmarkStart w:name="z1367" w:id="1622"/>
    <w:p>
      <w:pPr>
        <w:spacing w:after="0"/>
        <w:ind w:left="0"/>
        <w:jc w:val="both"/>
      </w:pPr>
      <w:r>
        <w:rPr>
          <w:rFonts w:ascii="Times New Roman"/>
          <w:b w:val="false"/>
          <w:i w:val="false"/>
          <w:color w:val="000000"/>
          <w:sz w:val="28"/>
        </w:rPr>
        <w:t>
      подотчетность руководителя подразделения внутреннего аудита напрямую совету директоров банка, который назначает на должность, контролирует его деятельность и, при необходимости, принимает решение об освобождении от должности;</w:t>
      </w:r>
    </w:p>
    <w:bookmarkEnd w:id="1622"/>
    <w:bookmarkStart w:name="z1368" w:id="1623"/>
    <w:p>
      <w:pPr>
        <w:spacing w:after="0"/>
        <w:ind w:left="0"/>
        <w:jc w:val="both"/>
      </w:pPr>
      <w:r>
        <w:rPr>
          <w:rFonts w:ascii="Times New Roman"/>
          <w:b w:val="false"/>
          <w:i w:val="false"/>
          <w:color w:val="000000"/>
          <w:sz w:val="28"/>
        </w:rPr>
        <w:t>
      информация о принятии решения об освобождении руководителя подразделения внутреннего аудита от должности доводится до сведения уполномоченного органа. При получении запроса уполномоченного органа, банк предоставляет объяснение причин принятия такого решения;</w:t>
      </w:r>
    </w:p>
    <w:bookmarkEnd w:id="1623"/>
    <w:bookmarkStart w:name="z1369" w:id="1624"/>
    <w:p>
      <w:pPr>
        <w:spacing w:after="0"/>
        <w:ind w:left="0"/>
        <w:jc w:val="both"/>
      </w:pPr>
      <w:r>
        <w:rPr>
          <w:rFonts w:ascii="Times New Roman"/>
          <w:b w:val="false"/>
          <w:i w:val="false"/>
          <w:color w:val="000000"/>
          <w:sz w:val="28"/>
        </w:rPr>
        <w:t>
      2) профессиональная компетентность и профессиональная осмотрительность, которые отвечают следующим характеристикам:</w:t>
      </w:r>
    </w:p>
    <w:bookmarkEnd w:id="1624"/>
    <w:bookmarkStart w:name="z1370" w:id="1625"/>
    <w:p>
      <w:pPr>
        <w:spacing w:after="0"/>
        <w:ind w:left="0"/>
        <w:jc w:val="both"/>
      </w:pPr>
      <w:r>
        <w:rPr>
          <w:rFonts w:ascii="Times New Roman"/>
          <w:b w:val="false"/>
          <w:i w:val="false"/>
          <w:color w:val="000000"/>
          <w:sz w:val="28"/>
        </w:rPr>
        <w:t>
      умение работников подразделения внутреннего аудита собирать и воспринимать информацию, проверять и оценивать выявленные факты и взаимодействовать с работниками подразделения внутреннего аудита;</w:t>
      </w:r>
    </w:p>
    <w:bookmarkEnd w:id="1625"/>
    <w:bookmarkStart w:name="z1371" w:id="1626"/>
    <w:p>
      <w:pPr>
        <w:spacing w:after="0"/>
        <w:ind w:left="0"/>
        <w:jc w:val="both"/>
      </w:pPr>
      <w:r>
        <w:rPr>
          <w:rFonts w:ascii="Times New Roman"/>
          <w:b w:val="false"/>
          <w:i w:val="false"/>
          <w:color w:val="000000"/>
          <w:sz w:val="28"/>
        </w:rPr>
        <w:t>
      ответственность руководителя подразделения внутреннего аудита за комплектацию штата работников, и постоянный контроль и оценка требуемого уровня навыков;</w:t>
      </w:r>
    </w:p>
    <w:bookmarkEnd w:id="1626"/>
    <w:bookmarkStart w:name="z1372" w:id="1627"/>
    <w:p>
      <w:pPr>
        <w:spacing w:after="0"/>
        <w:ind w:left="0"/>
        <w:jc w:val="both"/>
      </w:pPr>
      <w:r>
        <w:rPr>
          <w:rFonts w:ascii="Times New Roman"/>
          <w:b w:val="false"/>
          <w:i w:val="false"/>
          <w:color w:val="000000"/>
          <w:sz w:val="28"/>
        </w:rPr>
        <w:t>
      уровень квалификации и навыков работников подразделения внутреннего аудита и (или) привлекаемых сторонних экспертов, соответствующих требованиям профессиональной компетентности, и способность осуществлять внутренний аудит проверяемых направлений деятельности банка на должном уровне;</w:t>
      </w:r>
    </w:p>
    <w:bookmarkEnd w:id="1627"/>
    <w:bookmarkStart w:name="z1373" w:id="1628"/>
    <w:p>
      <w:pPr>
        <w:spacing w:after="0"/>
        <w:ind w:left="0"/>
        <w:jc w:val="both"/>
      </w:pPr>
      <w:r>
        <w:rPr>
          <w:rFonts w:ascii="Times New Roman"/>
          <w:b w:val="false"/>
          <w:i w:val="false"/>
          <w:color w:val="000000"/>
          <w:sz w:val="28"/>
        </w:rPr>
        <w:t>
      повышение квалификации в целях соответствия изменениям внутренней и внешней среды;</w:t>
      </w:r>
    </w:p>
    <w:bookmarkEnd w:id="1628"/>
    <w:bookmarkStart w:name="z1374" w:id="1629"/>
    <w:p>
      <w:pPr>
        <w:spacing w:after="0"/>
        <w:ind w:left="0"/>
        <w:jc w:val="both"/>
      </w:pPr>
      <w:r>
        <w:rPr>
          <w:rFonts w:ascii="Times New Roman"/>
          <w:b w:val="false"/>
          <w:i w:val="false"/>
          <w:color w:val="000000"/>
          <w:sz w:val="28"/>
        </w:rPr>
        <w:t>
      3) профессиональная этика, которая отвечает следующим принципам:</w:t>
      </w:r>
    </w:p>
    <w:bookmarkEnd w:id="1629"/>
    <w:bookmarkStart w:name="z1375" w:id="1630"/>
    <w:p>
      <w:pPr>
        <w:spacing w:after="0"/>
        <w:ind w:left="0"/>
        <w:jc w:val="both"/>
      </w:pPr>
      <w:r>
        <w:rPr>
          <w:rFonts w:ascii="Times New Roman"/>
          <w:b w:val="false"/>
          <w:i w:val="false"/>
          <w:color w:val="000000"/>
          <w:sz w:val="28"/>
        </w:rPr>
        <w:t>
      добросовестное выполнение должностных обязанностей работниками подразделения внутреннего аудита, их ответственность, порядочность и честность;</w:t>
      </w:r>
    </w:p>
    <w:bookmarkEnd w:id="1630"/>
    <w:bookmarkStart w:name="z1376" w:id="1631"/>
    <w:p>
      <w:pPr>
        <w:spacing w:after="0"/>
        <w:ind w:left="0"/>
        <w:jc w:val="both"/>
      </w:pPr>
      <w:r>
        <w:rPr>
          <w:rFonts w:ascii="Times New Roman"/>
          <w:b w:val="false"/>
          <w:i w:val="false"/>
          <w:color w:val="000000"/>
          <w:sz w:val="28"/>
        </w:rPr>
        <w:t>
      соблюдение конфиденциальности информации, получаемой в ходе выполнения должностных обязанностей;</w:t>
      </w:r>
    </w:p>
    <w:bookmarkEnd w:id="1631"/>
    <w:bookmarkStart w:name="z1377" w:id="1632"/>
    <w:p>
      <w:pPr>
        <w:spacing w:after="0"/>
        <w:ind w:left="0"/>
        <w:jc w:val="both"/>
      </w:pPr>
      <w:r>
        <w:rPr>
          <w:rFonts w:ascii="Times New Roman"/>
          <w:b w:val="false"/>
          <w:i w:val="false"/>
          <w:color w:val="000000"/>
          <w:sz w:val="28"/>
        </w:rPr>
        <w:t>
      исключение возникновения конфликта интересов. Работники подразделения внутреннего аудита, принятые из числа работников банка, не допускаются в течение последующих 12 (двенадцати) месяцев со дня перевода их в подразделение внутреннего аудита к проведению аудита подразделения, в котором они работали;</w:t>
      </w:r>
    </w:p>
    <w:bookmarkEnd w:id="1632"/>
    <w:bookmarkStart w:name="z1378" w:id="1633"/>
    <w:p>
      <w:pPr>
        <w:spacing w:after="0"/>
        <w:ind w:left="0"/>
        <w:jc w:val="both"/>
      </w:pPr>
      <w:r>
        <w:rPr>
          <w:rFonts w:ascii="Times New Roman"/>
          <w:b w:val="false"/>
          <w:i w:val="false"/>
          <w:color w:val="000000"/>
          <w:sz w:val="28"/>
        </w:rPr>
        <w:t>
      работники подразделения внутреннего аудита выполняют требования внутренних документов, банковского законодательства Республики Казахстан, законодательства Республики Казахстан об акционерных обществах.</w:t>
      </w:r>
    </w:p>
    <w:bookmarkEnd w:id="1633"/>
    <w:bookmarkStart w:name="z1379" w:id="1634"/>
    <w:p>
      <w:pPr>
        <w:spacing w:after="0"/>
        <w:ind w:left="0"/>
        <w:jc w:val="both"/>
      </w:pPr>
      <w:r>
        <w:rPr>
          <w:rFonts w:ascii="Times New Roman"/>
          <w:b w:val="false"/>
          <w:i w:val="false"/>
          <w:color w:val="000000"/>
          <w:sz w:val="28"/>
        </w:rPr>
        <w:t>
      111. Банк утверждает положение о подразделении внутреннего аудита в целях обеспечения эффективности деятельности. Положение включает, но не ограничивается следующим:</w:t>
      </w:r>
    </w:p>
    <w:bookmarkEnd w:id="1634"/>
    <w:bookmarkStart w:name="z1380" w:id="1635"/>
    <w:p>
      <w:pPr>
        <w:spacing w:after="0"/>
        <w:ind w:left="0"/>
        <w:jc w:val="both"/>
      </w:pPr>
      <w:r>
        <w:rPr>
          <w:rFonts w:ascii="Times New Roman"/>
          <w:b w:val="false"/>
          <w:i w:val="false"/>
          <w:color w:val="000000"/>
          <w:sz w:val="28"/>
        </w:rPr>
        <w:t>
      1) статус подразделения внутреннего аудита в банке, полномочия, обязанности и внутренний порядок взаимодействия с другими подразделениями банка;</w:t>
      </w:r>
    </w:p>
    <w:bookmarkEnd w:id="1635"/>
    <w:bookmarkStart w:name="z1381" w:id="1636"/>
    <w:p>
      <w:pPr>
        <w:spacing w:after="0"/>
        <w:ind w:left="0"/>
        <w:jc w:val="both"/>
      </w:pPr>
      <w:r>
        <w:rPr>
          <w:rFonts w:ascii="Times New Roman"/>
          <w:b w:val="false"/>
          <w:i w:val="false"/>
          <w:color w:val="000000"/>
          <w:sz w:val="28"/>
        </w:rPr>
        <w:t>
      2) задачи и сферу деятельности подразделения внутреннего аудита;</w:t>
      </w:r>
    </w:p>
    <w:bookmarkEnd w:id="1636"/>
    <w:bookmarkStart w:name="z1382" w:id="1637"/>
    <w:p>
      <w:pPr>
        <w:spacing w:after="0"/>
        <w:ind w:left="0"/>
        <w:jc w:val="both"/>
      </w:pPr>
      <w:r>
        <w:rPr>
          <w:rFonts w:ascii="Times New Roman"/>
          <w:b w:val="false"/>
          <w:i w:val="false"/>
          <w:color w:val="000000"/>
          <w:sz w:val="28"/>
        </w:rPr>
        <w:t>
      3) обязанности подразделения внутреннего аудита информировать совет директоров, правление и иные заинтересованные подразделения банка о результатах проведенной работы;</w:t>
      </w:r>
    </w:p>
    <w:bookmarkEnd w:id="1637"/>
    <w:bookmarkStart w:name="z1383" w:id="1638"/>
    <w:p>
      <w:pPr>
        <w:spacing w:after="0"/>
        <w:ind w:left="0"/>
        <w:jc w:val="both"/>
      </w:pPr>
      <w:r>
        <w:rPr>
          <w:rFonts w:ascii="Times New Roman"/>
          <w:b w:val="false"/>
          <w:i w:val="false"/>
          <w:color w:val="000000"/>
          <w:sz w:val="28"/>
        </w:rPr>
        <w:t>
      4) условия, при которых подразделение внутреннего аудита предоставляет консультации;</w:t>
      </w:r>
    </w:p>
    <w:bookmarkEnd w:id="1638"/>
    <w:bookmarkStart w:name="z1384" w:id="1639"/>
    <w:p>
      <w:pPr>
        <w:spacing w:after="0"/>
        <w:ind w:left="0"/>
        <w:jc w:val="both"/>
      </w:pPr>
      <w:r>
        <w:rPr>
          <w:rFonts w:ascii="Times New Roman"/>
          <w:b w:val="false"/>
          <w:i w:val="false"/>
          <w:color w:val="000000"/>
          <w:sz w:val="28"/>
        </w:rPr>
        <w:t>
      5) ответственность и подотчетность руководителя подразделения внутреннего аудита;</w:t>
      </w:r>
    </w:p>
    <w:bookmarkEnd w:id="1639"/>
    <w:bookmarkStart w:name="z1385" w:id="1640"/>
    <w:p>
      <w:pPr>
        <w:spacing w:after="0"/>
        <w:ind w:left="0"/>
        <w:jc w:val="both"/>
      </w:pPr>
      <w:r>
        <w:rPr>
          <w:rFonts w:ascii="Times New Roman"/>
          <w:b w:val="false"/>
          <w:i w:val="false"/>
          <w:color w:val="000000"/>
          <w:sz w:val="28"/>
        </w:rPr>
        <w:t>
      6) требования руководствоваться международными стандартами внутреннего аудита;</w:t>
      </w:r>
    </w:p>
    <w:bookmarkEnd w:id="1640"/>
    <w:bookmarkStart w:name="z1386" w:id="1641"/>
    <w:p>
      <w:pPr>
        <w:spacing w:after="0"/>
        <w:ind w:left="0"/>
        <w:jc w:val="both"/>
      </w:pPr>
      <w:r>
        <w:rPr>
          <w:rFonts w:ascii="Times New Roman"/>
          <w:b w:val="false"/>
          <w:i w:val="false"/>
          <w:color w:val="000000"/>
          <w:sz w:val="28"/>
        </w:rPr>
        <w:t>
      7) процедуры взаимодействия подразделения внутреннего аудита с внешним аудитором банка;</w:t>
      </w:r>
    </w:p>
    <w:bookmarkEnd w:id="1641"/>
    <w:bookmarkStart w:name="z1387" w:id="1642"/>
    <w:p>
      <w:pPr>
        <w:spacing w:after="0"/>
        <w:ind w:left="0"/>
        <w:jc w:val="both"/>
      </w:pPr>
      <w:r>
        <w:rPr>
          <w:rFonts w:ascii="Times New Roman"/>
          <w:b w:val="false"/>
          <w:i w:val="false"/>
          <w:color w:val="000000"/>
          <w:sz w:val="28"/>
        </w:rPr>
        <w:t>
      8) полномочия подразделения внутреннего аудита в процессе деятельности (в том числе проверка любого подразделения и вида деятельности банка и его дочерних организаций, неограниченный доступ к документам банка, данным, материальным объектам, управленческой отчетности, записям и протоколам всех заседаний и совещаний, принятым решениям).</w:t>
      </w:r>
    </w:p>
    <w:bookmarkEnd w:id="1642"/>
    <w:bookmarkStart w:name="z1388" w:id="1643"/>
    <w:p>
      <w:pPr>
        <w:spacing w:after="0"/>
        <w:ind w:left="0"/>
        <w:jc w:val="both"/>
      </w:pPr>
      <w:r>
        <w:rPr>
          <w:rFonts w:ascii="Times New Roman"/>
          <w:b w:val="false"/>
          <w:i w:val="false"/>
          <w:color w:val="000000"/>
          <w:sz w:val="28"/>
        </w:rPr>
        <w:t>
      112. Сфера деятельности подразделения внутреннего аудита включает оценку:</w:t>
      </w:r>
    </w:p>
    <w:bookmarkEnd w:id="1643"/>
    <w:bookmarkStart w:name="z1389" w:id="1644"/>
    <w:p>
      <w:pPr>
        <w:spacing w:after="0"/>
        <w:ind w:left="0"/>
        <w:jc w:val="both"/>
      </w:pPr>
      <w:r>
        <w:rPr>
          <w:rFonts w:ascii="Times New Roman"/>
          <w:b w:val="false"/>
          <w:i w:val="false"/>
          <w:color w:val="000000"/>
          <w:sz w:val="28"/>
        </w:rPr>
        <w:t>
      1) эффективности системы управления рисками и внутреннего контроля;</w:t>
      </w:r>
    </w:p>
    <w:bookmarkEnd w:id="1644"/>
    <w:bookmarkStart w:name="z1390" w:id="1645"/>
    <w:p>
      <w:pPr>
        <w:spacing w:after="0"/>
        <w:ind w:left="0"/>
        <w:jc w:val="both"/>
      </w:pPr>
      <w:r>
        <w:rPr>
          <w:rFonts w:ascii="Times New Roman"/>
          <w:b w:val="false"/>
          <w:i w:val="false"/>
          <w:color w:val="000000"/>
          <w:sz w:val="28"/>
        </w:rPr>
        <w:t>
      2) эффективности политик и процедур банка;</w:t>
      </w:r>
    </w:p>
    <w:bookmarkEnd w:id="1645"/>
    <w:bookmarkStart w:name="z1391" w:id="1646"/>
    <w:p>
      <w:pPr>
        <w:spacing w:after="0"/>
        <w:ind w:left="0"/>
        <w:jc w:val="both"/>
      </w:pPr>
      <w:r>
        <w:rPr>
          <w:rFonts w:ascii="Times New Roman"/>
          <w:b w:val="false"/>
          <w:i w:val="false"/>
          <w:color w:val="000000"/>
          <w:sz w:val="28"/>
        </w:rPr>
        <w:t>
      3) надежности системы бухгалтерского учета и информации;</w:t>
      </w:r>
    </w:p>
    <w:bookmarkEnd w:id="1646"/>
    <w:bookmarkStart w:name="z1392" w:id="1647"/>
    <w:p>
      <w:pPr>
        <w:spacing w:after="0"/>
        <w:ind w:left="0"/>
        <w:jc w:val="both"/>
      </w:pPr>
      <w:r>
        <w:rPr>
          <w:rFonts w:ascii="Times New Roman"/>
          <w:b w:val="false"/>
          <w:i w:val="false"/>
          <w:color w:val="000000"/>
          <w:sz w:val="28"/>
        </w:rPr>
        <w:t>
      4) достоверности, эффективности и целостности систем управленческой отчетности (включая актуальность, точность, полноту, доступность, конфиденциальность и всесторонний характер данных);</w:t>
      </w:r>
    </w:p>
    <w:bookmarkEnd w:id="1647"/>
    <w:bookmarkStart w:name="z1393" w:id="1648"/>
    <w:p>
      <w:pPr>
        <w:spacing w:after="0"/>
        <w:ind w:left="0"/>
        <w:jc w:val="both"/>
      </w:pPr>
      <w:r>
        <w:rPr>
          <w:rFonts w:ascii="Times New Roman"/>
          <w:b w:val="false"/>
          <w:i w:val="false"/>
          <w:color w:val="000000"/>
          <w:sz w:val="28"/>
        </w:rPr>
        <w:t>
      5) сохранности активов и капитала.</w:t>
      </w:r>
    </w:p>
    <w:bookmarkEnd w:id="1648"/>
    <w:bookmarkStart w:name="z1394" w:id="1649"/>
    <w:p>
      <w:pPr>
        <w:spacing w:after="0"/>
        <w:ind w:left="0"/>
        <w:jc w:val="both"/>
      </w:pPr>
      <w:r>
        <w:rPr>
          <w:rFonts w:ascii="Times New Roman"/>
          <w:b w:val="false"/>
          <w:i w:val="false"/>
          <w:color w:val="000000"/>
          <w:sz w:val="28"/>
        </w:rPr>
        <w:t>
      113. Деятельность подразделения внутреннего аудита надлежащим образом покрывает все вопросы регулирования деятельности банка (на основе риск-ориентированного подхода), в частности:</w:t>
      </w:r>
    </w:p>
    <w:bookmarkEnd w:id="1649"/>
    <w:bookmarkStart w:name="z1395" w:id="1650"/>
    <w:p>
      <w:pPr>
        <w:spacing w:after="0"/>
        <w:ind w:left="0"/>
        <w:jc w:val="both"/>
      </w:pPr>
      <w:r>
        <w:rPr>
          <w:rFonts w:ascii="Times New Roman"/>
          <w:b w:val="false"/>
          <w:i w:val="false"/>
          <w:color w:val="000000"/>
          <w:sz w:val="28"/>
        </w:rPr>
        <w:t>
      1) управление рисками, в том числе:</w:t>
      </w:r>
    </w:p>
    <w:bookmarkEnd w:id="1650"/>
    <w:bookmarkStart w:name="z1396" w:id="1651"/>
    <w:p>
      <w:pPr>
        <w:spacing w:after="0"/>
        <w:ind w:left="0"/>
        <w:jc w:val="both"/>
      </w:pPr>
      <w:r>
        <w:rPr>
          <w:rFonts w:ascii="Times New Roman"/>
          <w:b w:val="false"/>
          <w:i w:val="false"/>
          <w:color w:val="000000"/>
          <w:sz w:val="28"/>
        </w:rPr>
        <w:t xml:space="preserve">
      оценка организации процесса управления рисками, включая обязанности структурных подразделений; </w:t>
      </w:r>
    </w:p>
    <w:bookmarkEnd w:id="1651"/>
    <w:bookmarkStart w:name="z1397" w:id="1652"/>
    <w:p>
      <w:pPr>
        <w:spacing w:after="0"/>
        <w:ind w:left="0"/>
        <w:jc w:val="both"/>
      </w:pPr>
      <w:r>
        <w:rPr>
          <w:rFonts w:ascii="Times New Roman"/>
          <w:b w:val="false"/>
          <w:i w:val="false"/>
          <w:color w:val="000000"/>
          <w:sz w:val="28"/>
        </w:rPr>
        <w:t>
      оценка соответствия деятельности банка стратегии риск-аппетита и процедурам определения риск-аппетита;</w:t>
      </w:r>
    </w:p>
    <w:bookmarkEnd w:id="1652"/>
    <w:bookmarkStart w:name="z1398" w:id="1653"/>
    <w:p>
      <w:pPr>
        <w:spacing w:after="0"/>
        <w:ind w:left="0"/>
        <w:jc w:val="both"/>
      </w:pPr>
      <w:r>
        <w:rPr>
          <w:rFonts w:ascii="Times New Roman"/>
          <w:b w:val="false"/>
          <w:i w:val="false"/>
          <w:color w:val="000000"/>
          <w:sz w:val="28"/>
        </w:rPr>
        <w:t xml:space="preserve">
      оценка эффективности внутреннего порядка информирования и распространения вопросов и решений, принятых в рамках управления рисками; </w:t>
      </w:r>
    </w:p>
    <w:bookmarkEnd w:id="1653"/>
    <w:bookmarkStart w:name="z1399" w:id="1654"/>
    <w:p>
      <w:pPr>
        <w:spacing w:after="0"/>
        <w:ind w:left="0"/>
        <w:jc w:val="both"/>
      </w:pPr>
      <w:r>
        <w:rPr>
          <w:rFonts w:ascii="Times New Roman"/>
          <w:b w:val="false"/>
          <w:i w:val="false"/>
          <w:color w:val="000000"/>
          <w:sz w:val="28"/>
        </w:rPr>
        <w:t>
      оценка эффективности систем управления рисками, включая выявление, оценку, мониторинг и контроль, реагирование, отчетность по рискам, возникающим в деятельности банка;</w:t>
      </w:r>
    </w:p>
    <w:bookmarkEnd w:id="1654"/>
    <w:bookmarkStart w:name="z1400" w:id="1655"/>
    <w:p>
      <w:pPr>
        <w:spacing w:after="0"/>
        <w:ind w:left="0"/>
        <w:jc w:val="both"/>
      </w:pPr>
      <w:r>
        <w:rPr>
          <w:rFonts w:ascii="Times New Roman"/>
          <w:b w:val="false"/>
          <w:i w:val="false"/>
          <w:color w:val="000000"/>
          <w:sz w:val="28"/>
        </w:rPr>
        <w:t>
      оценка процесса формирования данных в информационных системах, используемых в рамках управления рискам, на предмет обеспечения точности, достоверности и полноты;</w:t>
      </w:r>
    </w:p>
    <w:bookmarkEnd w:id="1655"/>
    <w:bookmarkStart w:name="z1401" w:id="1656"/>
    <w:p>
      <w:pPr>
        <w:spacing w:after="0"/>
        <w:ind w:left="0"/>
        <w:jc w:val="both"/>
      </w:pPr>
      <w:r>
        <w:rPr>
          <w:rFonts w:ascii="Times New Roman"/>
          <w:b w:val="false"/>
          <w:i w:val="false"/>
          <w:color w:val="000000"/>
          <w:sz w:val="28"/>
        </w:rPr>
        <w:t>
      оценка процесса утверждения и применения моделей оценки рисков, включая проверку последовательности подходов, актуальности, независимости и достоверности источников данных, используемых в этих моделях.</w:t>
      </w:r>
    </w:p>
    <w:bookmarkEnd w:id="1656"/>
    <w:bookmarkStart w:name="z1402" w:id="1657"/>
    <w:p>
      <w:pPr>
        <w:spacing w:after="0"/>
        <w:ind w:left="0"/>
        <w:jc w:val="both"/>
      </w:pPr>
      <w:r>
        <w:rPr>
          <w:rFonts w:ascii="Times New Roman"/>
          <w:b w:val="false"/>
          <w:i w:val="false"/>
          <w:color w:val="000000"/>
          <w:sz w:val="28"/>
        </w:rPr>
        <w:t>
      Если в ходе проведения проверок подразделением внутреннего аудита выявлены существенные факты принятия решений правлением банка при наличии отрицательного заключения подразделения (подразделений) по управлению рисками, такие факты доводятся подразделением внутреннего аудита до совета директоров банка;</w:t>
      </w:r>
    </w:p>
    <w:bookmarkEnd w:id="1657"/>
    <w:bookmarkStart w:name="z1403" w:id="1658"/>
    <w:p>
      <w:pPr>
        <w:spacing w:after="0"/>
        <w:ind w:left="0"/>
        <w:jc w:val="both"/>
      </w:pPr>
      <w:r>
        <w:rPr>
          <w:rFonts w:ascii="Times New Roman"/>
          <w:b w:val="false"/>
          <w:i w:val="false"/>
          <w:color w:val="000000"/>
          <w:sz w:val="28"/>
        </w:rPr>
        <w:t>
      2) система внутреннего контроля, в том числе:</w:t>
      </w:r>
    </w:p>
    <w:bookmarkEnd w:id="1658"/>
    <w:bookmarkStart w:name="z1404" w:id="1659"/>
    <w:p>
      <w:pPr>
        <w:spacing w:after="0"/>
        <w:ind w:left="0"/>
        <w:jc w:val="both"/>
      </w:pPr>
      <w:r>
        <w:rPr>
          <w:rFonts w:ascii="Times New Roman"/>
          <w:b w:val="false"/>
          <w:i w:val="false"/>
          <w:color w:val="000000"/>
          <w:sz w:val="28"/>
        </w:rPr>
        <w:t>
      проверка организации системы внутреннего контроля;</w:t>
      </w:r>
    </w:p>
    <w:bookmarkEnd w:id="1659"/>
    <w:bookmarkStart w:name="z1405" w:id="1660"/>
    <w:p>
      <w:pPr>
        <w:spacing w:after="0"/>
        <w:ind w:left="0"/>
        <w:jc w:val="both"/>
      </w:pPr>
      <w:r>
        <w:rPr>
          <w:rFonts w:ascii="Times New Roman"/>
          <w:b w:val="false"/>
          <w:i w:val="false"/>
          <w:color w:val="000000"/>
          <w:sz w:val="28"/>
        </w:rPr>
        <w:t>
      оценка процессов и процедур внутреннего контроля;</w:t>
      </w:r>
    </w:p>
    <w:bookmarkEnd w:id="1660"/>
    <w:bookmarkStart w:name="z1406" w:id="1661"/>
    <w:p>
      <w:pPr>
        <w:spacing w:after="0"/>
        <w:ind w:left="0"/>
        <w:jc w:val="both"/>
      </w:pPr>
      <w:r>
        <w:rPr>
          <w:rFonts w:ascii="Times New Roman"/>
          <w:b w:val="false"/>
          <w:i w:val="false"/>
          <w:color w:val="000000"/>
          <w:sz w:val="28"/>
        </w:rPr>
        <w:t>
      оценка управленческой информации по внутреннему контролю на достоверность, полноту и своевременность;</w:t>
      </w:r>
    </w:p>
    <w:bookmarkEnd w:id="1661"/>
    <w:bookmarkStart w:name="z1407" w:id="1662"/>
    <w:p>
      <w:pPr>
        <w:spacing w:after="0"/>
        <w:ind w:left="0"/>
        <w:jc w:val="both"/>
      </w:pPr>
      <w:r>
        <w:rPr>
          <w:rFonts w:ascii="Times New Roman"/>
          <w:b w:val="false"/>
          <w:i w:val="false"/>
          <w:color w:val="000000"/>
          <w:sz w:val="28"/>
        </w:rPr>
        <w:t>
      3) достаточность капитала и ликвидности, в том числе:</w:t>
      </w:r>
    </w:p>
    <w:bookmarkEnd w:id="1662"/>
    <w:bookmarkStart w:name="z1408" w:id="1663"/>
    <w:p>
      <w:pPr>
        <w:spacing w:after="0"/>
        <w:ind w:left="0"/>
        <w:jc w:val="both"/>
      </w:pPr>
      <w:r>
        <w:rPr>
          <w:rFonts w:ascii="Times New Roman"/>
          <w:b w:val="false"/>
          <w:i w:val="false"/>
          <w:color w:val="000000"/>
          <w:sz w:val="28"/>
        </w:rPr>
        <w:t>
      оценка эффективности внутренних процессов оценки достаточности капитала и ликвидности, адекватностью соотношения капитала, ликвидности и рисков, принимаемых банком, соблюдением обязательных нормативов;</w:t>
      </w:r>
    </w:p>
    <w:bookmarkEnd w:id="1663"/>
    <w:bookmarkStart w:name="z1409" w:id="1664"/>
    <w:p>
      <w:pPr>
        <w:spacing w:after="0"/>
        <w:ind w:left="0"/>
        <w:jc w:val="both"/>
      </w:pPr>
      <w:r>
        <w:rPr>
          <w:rFonts w:ascii="Times New Roman"/>
          <w:b w:val="false"/>
          <w:i w:val="false"/>
          <w:color w:val="000000"/>
          <w:sz w:val="28"/>
        </w:rPr>
        <w:t>
      оценка процессов стресс-тестирования уровня капитала и ликвидности с учетом периодичности проведения стресс-тестов, задач тестирования, реалистичности сценариев и принимаемых допущений, достоверность процессов;</w:t>
      </w:r>
    </w:p>
    <w:bookmarkEnd w:id="1664"/>
    <w:bookmarkStart w:name="z1410" w:id="1665"/>
    <w:p>
      <w:pPr>
        <w:spacing w:after="0"/>
        <w:ind w:left="0"/>
        <w:jc w:val="both"/>
      </w:pPr>
      <w:r>
        <w:rPr>
          <w:rFonts w:ascii="Times New Roman"/>
          <w:b w:val="false"/>
          <w:i w:val="false"/>
          <w:color w:val="000000"/>
          <w:sz w:val="28"/>
        </w:rPr>
        <w:t>
      4) регуляторная и управленческая отчетность.</w:t>
      </w:r>
    </w:p>
    <w:bookmarkEnd w:id="1665"/>
    <w:bookmarkStart w:name="z1411" w:id="1666"/>
    <w:p>
      <w:pPr>
        <w:spacing w:after="0"/>
        <w:ind w:left="0"/>
        <w:jc w:val="both"/>
      </w:pPr>
      <w:r>
        <w:rPr>
          <w:rFonts w:ascii="Times New Roman"/>
          <w:b w:val="false"/>
          <w:i w:val="false"/>
          <w:color w:val="000000"/>
          <w:sz w:val="28"/>
        </w:rPr>
        <w:t>
      Подразделение внутреннего аудита оценивает эффективность процессов управления рисками и подготовки отчетности для руководства банка и уполномоченного органа;</w:t>
      </w:r>
    </w:p>
    <w:bookmarkEnd w:id="1666"/>
    <w:bookmarkStart w:name="z1412" w:id="1667"/>
    <w:p>
      <w:pPr>
        <w:spacing w:after="0"/>
        <w:ind w:left="0"/>
        <w:jc w:val="both"/>
      </w:pPr>
      <w:r>
        <w:rPr>
          <w:rFonts w:ascii="Times New Roman"/>
          <w:b w:val="false"/>
          <w:i w:val="false"/>
          <w:color w:val="000000"/>
          <w:sz w:val="28"/>
        </w:rPr>
        <w:t>
      5) комплаенс.</w:t>
      </w:r>
    </w:p>
    <w:bookmarkEnd w:id="1667"/>
    <w:bookmarkStart w:name="z1413" w:id="1668"/>
    <w:p>
      <w:pPr>
        <w:spacing w:after="0"/>
        <w:ind w:left="0"/>
        <w:jc w:val="both"/>
      </w:pPr>
      <w:r>
        <w:rPr>
          <w:rFonts w:ascii="Times New Roman"/>
          <w:b w:val="false"/>
          <w:i w:val="false"/>
          <w:color w:val="000000"/>
          <w:sz w:val="28"/>
        </w:rPr>
        <w:t>
      Оценка эффективности процессов и процедур управления комплаенс-риском и риском ОД/ФТ;</w:t>
      </w:r>
    </w:p>
    <w:bookmarkEnd w:id="1668"/>
    <w:bookmarkStart w:name="z1414" w:id="1669"/>
    <w:p>
      <w:pPr>
        <w:spacing w:after="0"/>
        <w:ind w:left="0"/>
        <w:jc w:val="both"/>
      </w:pPr>
      <w:r>
        <w:rPr>
          <w:rFonts w:ascii="Times New Roman"/>
          <w:b w:val="false"/>
          <w:i w:val="false"/>
          <w:color w:val="000000"/>
          <w:sz w:val="28"/>
        </w:rPr>
        <w:t>
      6) деятельность финансового блока:</w:t>
      </w:r>
    </w:p>
    <w:bookmarkEnd w:id="1669"/>
    <w:bookmarkStart w:name="z1415" w:id="1670"/>
    <w:p>
      <w:pPr>
        <w:spacing w:after="0"/>
        <w:ind w:left="0"/>
        <w:jc w:val="both"/>
      </w:pPr>
      <w:r>
        <w:rPr>
          <w:rFonts w:ascii="Times New Roman"/>
          <w:b w:val="false"/>
          <w:i w:val="false"/>
          <w:color w:val="000000"/>
          <w:sz w:val="28"/>
        </w:rPr>
        <w:t xml:space="preserve">
      оценка процесса формирования исходных финансовых данных на предмет обеспечения их адекватности, точности и полноты, и последующей передачи ключевых данных, в том числе финансовых результатов, оценки финансовых инструментов и снижения их стоимости; </w:t>
      </w:r>
    </w:p>
    <w:bookmarkEnd w:id="1670"/>
    <w:bookmarkStart w:name="z1416" w:id="1671"/>
    <w:p>
      <w:pPr>
        <w:spacing w:after="0"/>
        <w:ind w:left="0"/>
        <w:jc w:val="both"/>
      </w:pPr>
      <w:r>
        <w:rPr>
          <w:rFonts w:ascii="Times New Roman"/>
          <w:b w:val="false"/>
          <w:i w:val="false"/>
          <w:color w:val="000000"/>
          <w:sz w:val="28"/>
        </w:rPr>
        <w:t xml:space="preserve">
      оценка процесса утверждения и применения моделей ценообразования, включая проверку последовательности подходов, актуальности, независимости и достоверности источников данных, используемых в этих моделях; </w:t>
      </w:r>
    </w:p>
    <w:bookmarkEnd w:id="1671"/>
    <w:bookmarkStart w:name="z1417" w:id="1672"/>
    <w:p>
      <w:pPr>
        <w:spacing w:after="0"/>
        <w:ind w:left="0"/>
        <w:jc w:val="both"/>
      </w:pPr>
      <w:r>
        <w:rPr>
          <w:rFonts w:ascii="Times New Roman"/>
          <w:b w:val="false"/>
          <w:i w:val="false"/>
          <w:color w:val="000000"/>
          <w:sz w:val="28"/>
        </w:rPr>
        <w:t xml:space="preserve">
      оценка действующих механизмов контроля для предотвращения и выявления нарушений правил осуществления операций; </w:t>
      </w:r>
    </w:p>
    <w:bookmarkEnd w:id="1672"/>
    <w:bookmarkStart w:name="z1418" w:id="1673"/>
    <w:p>
      <w:pPr>
        <w:spacing w:after="0"/>
        <w:ind w:left="0"/>
        <w:jc w:val="both"/>
      </w:pPr>
      <w:r>
        <w:rPr>
          <w:rFonts w:ascii="Times New Roman"/>
          <w:b w:val="false"/>
          <w:i w:val="false"/>
          <w:color w:val="000000"/>
          <w:sz w:val="28"/>
        </w:rPr>
        <w:t>
      оценка процедур банка по измерению и мониторингу банковских позиций по ликвидности, валюте и процентной ставке на предмет соответствия риск-профилю банка, внешней среде и минимальным регуляторным требованиям;</w:t>
      </w:r>
    </w:p>
    <w:bookmarkEnd w:id="1673"/>
    <w:bookmarkStart w:name="z1419" w:id="1674"/>
    <w:p>
      <w:pPr>
        <w:spacing w:after="0"/>
        <w:ind w:left="0"/>
        <w:jc w:val="both"/>
      </w:pPr>
      <w:r>
        <w:rPr>
          <w:rFonts w:ascii="Times New Roman"/>
          <w:b w:val="false"/>
          <w:i w:val="false"/>
          <w:color w:val="000000"/>
          <w:sz w:val="28"/>
        </w:rPr>
        <w:t>
      выборочное тестирование транзакций банка на предмет их соответствия политикам, процедурам в ходе проверки и оценка эффективности мер внутреннего контроля в отношении данных транзакций;</w:t>
      </w:r>
    </w:p>
    <w:bookmarkEnd w:id="1674"/>
    <w:bookmarkStart w:name="z1420" w:id="1675"/>
    <w:p>
      <w:pPr>
        <w:spacing w:after="0"/>
        <w:ind w:left="0"/>
        <w:jc w:val="both"/>
      </w:pPr>
      <w:r>
        <w:rPr>
          <w:rFonts w:ascii="Times New Roman"/>
          <w:b w:val="false"/>
          <w:i w:val="false"/>
          <w:color w:val="000000"/>
          <w:sz w:val="28"/>
        </w:rPr>
        <w:t>
      оценка эффективности процессов ведения бухгалтерского учета, в том числе контрольных процедур.</w:t>
      </w:r>
    </w:p>
    <w:bookmarkEnd w:id="1675"/>
    <w:bookmarkStart w:name="z1421" w:id="1676"/>
    <w:p>
      <w:pPr>
        <w:spacing w:after="0"/>
        <w:ind w:left="0"/>
        <w:jc w:val="both"/>
      </w:pPr>
      <w:r>
        <w:rPr>
          <w:rFonts w:ascii="Times New Roman"/>
          <w:b w:val="false"/>
          <w:i w:val="false"/>
          <w:color w:val="000000"/>
          <w:sz w:val="28"/>
        </w:rPr>
        <w:t>
      114. По результатам аудиторских проверок формируется отчет о результатах внутреннего аудита, который содержит, но не ограничивается следующим:</w:t>
      </w:r>
    </w:p>
    <w:bookmarkEnd w:id="1676"/>
    <w:bookmarkStart w:name="z1422" w:id="1677"/>
    <w:p>
      <w:pPr>
        <w:spacing w:after="0"/>
        <w:ind w:left="0"/>
        <w:jc w:val="both"/>
      </w:pPr>
      <w:r>
        <w:rPr>
          <w:rFonts w:ascii="Times New Roman"/>
          <w:b w:val="false"/>
          <w:i w:val="false"/>
          <w:color w:val="000000"/>
          <w:sz w:val="28"/>
        </w:rPr>
        <w:t>
      1) общую информацию, включая цели, объем, сроки проведения аудиторской проверки, сведения о составе проверяющей группы;</w:t>
      </w:r>
    </w:p>
    <w:bookmarkEnd w:id="1677"/>
    <w:bookmarkStart w:name="z1423" w:id="1678"/>
    <w:p>
      <w:pPr>
        <w:spacing w:after="0"/>
        <w:ind w:left="0"/>
        <w:jc w:val="both"/>
      </w:pPr>
      <w:r>
        <w:rPr>
          <w:rFonts w:ascii="Times New Roman"/>
          <w:b w:val="false"/>
          <w:i w:val="false"/>
          <w:color w:val="000000"/>
          <w:sz w:val="28"/>
        </w:rPr>
        <w:t>
      2) перечень выявленных в ходе проверки нарушений и недостатков с указанием причин, вызвавших нарушения и недостатки, и их влияние на деятельность банка;</w:t>
      </w:r>
    </w:p>
    <w:bookmarkEnd w:id="1678"/>
    <w:bookmarkStart w:name="z1424" w:id="1679"/>
    <w:p>
      <w:pPr>
        <w:spacing w:after="0"/>
        <w:ind w:left="0"/>
        <w:jc w:val="both"/>
      </w:pPr>
      <w:r>
        <w:rPr>
          <w:rFonts w:ascii="Times New Roman"/>
          <w:b w:val="false"/>
          <w:i w:val="false"/>
          <w:color w:val="000000"/>
          <w:sz w:val="28"/>
        </w:rPr>
        <w:t>
      3) рекомендации по устранению выявленных нарушений и недостатков;</w:t>
      </w:r>
    </w:p>
    <w:bookmarkEnd w:id="1679"/>
    <w:bookmarkStart w:name="z1425" w:id="1680"/>
    <w:p>
      <w:pPr>
        <w:spacing w:after="0"/>
        <w:ind w:left="0"/>
        <w:jc w:val="both"/>
      </w:pPr>
      <w:r>
        <w:rPr>
          <w:rFonts w:ascii="Times New Roman"/>
          <w:b w:val="false"/>
          <w:i w:val="false"/>
          <w:color w:val="000000"/>
          <w:sz w:val="28"/>
        </w:rPr>
        <w:t>
      4) список лиц, которым направляется аудиторский отчет.</w:t>
      </w:r>
    </w:p>
    <w:bookmarkEnd w:id="1680"/>
    <w:bookmarkStart w:name="z1426" w:id="1681"/>
    <w:p>
      <w:pPr>
        <w:spacing w:after="0"/>
        <w:ind w:left="0"/>
        <w:jc w:val="both"/>
      </w:pPr>
      <w:r>
        <w:rPr>
          <w:rFonts w:ascii="Times New Roman"/>
          <w:b w:val="false"/>
          <w:i w:val="false"/>
          <w:color w:val="000000"/>
          <w:sz w:val="28"/>
        </w:rPr>
        <w:t>
      Отчет о результатах внутреннего аудита направляется правлению банка на ознакомление, выявленные существенные факты и сделанные выводы направляются на рассмотрение комитета по вопросам аудита и совета директоров банка.</w:t>
      </w:r>
    </w:p>
    <w:bookmarkEnd w:id="1681"/>
    <w:bookmarkStart w:name="z1427" w:id="1682"/>
    <w:p>
      <w:pPr>
        <w:spacing w:after="0"/>
        <w:ind w:left="0"/>
        <w:jc w:val="both"/>
      </w:pPr>
      <w:r>
        <w:rPr>
          <w:rFonts w:ascii="Times New Roman"/>
          <w:b w:val="false"/>
          <w:i w:val="false"/>
          <w:color w:val="000000"/>
          <w:sz w:val="28"/>
        </w:rPr>
        <w:t>
      115. Руководитель подразделения внутреннего аудита отвечает за подготовку ежегодного плана аудиторских проверок на основе риск-ориентированного подхода, который содержит, но не ограничивается следующим:</w:t>
      </w:r>
    </w:p>
    <w:bookmarkEnd w:id="1682"/>
    <w:bookmarkStart w:name="z1428" w:id="1683"/>
    <w:p>
      <w:pPr>
        <w:spacing w:after="0"/>
        <w:ind w:left="0"/>
        <w:jc w:val="both"/>
      </w:pPr>
      <w:r>
        <w:rPr>
          <w:rFonts w:ascii="Times New Roman"/>
          <w:b w:val="false"/>
          <w:i w:val="false"/>
          <w:color w:val="000000"/>
          <w:sz w:val="28"/>
        </w:rPr>
        <w:t>
      1) цели и масштаб аудита;</w:t>
      </w:r>
    </w:p>
    <w:bookmarkEnd w:id="1683"/>
    <w:bookmarkStart w:name="z1429" w:id="1684"/>
    <w:p>
      <w:pPr>
        <w:spacing w:after="0"/>
        <w:ind w:left="0"/>
        <w:jc w:val="both"/>
      </w:pPr>
      <w:r>
        <w:rPr>
          <w:rFonts w:ascii="Times New Roman"/>
          <w:b w:val="false"/>
          <w:i w:val="false"/>
          <w:color w:val="000000"/>
          <w:sz w:val="28"/>
        </w:rPr>
        <w:t>
      2) направления, подлежащие аудиту;</w:t>
      </w:r>
    </w:p>
    <w:bookmarkEnd w:id="1684"/>
    <w:bookmarkStart w:name="z1430" w:id="1685"/>
    <w:p>
      <w:pPr>
        <w:spacing w:after="0"/>
        <w:ind w:left="0"/>
        <w:jc w:val="both"/>
      </w:pPr>
      <w:r>
        <w:rPr>
          <w:rFonts w:ascii="Times New Roman"/>
          <w:b w:val="false"/>
          <w:i w:val="false"/>
          <w:color w:val="000000"/>
          <w:sz w:val="28"/>
        </w:rPr>
        <w:t>
      3) сроки проведения аудита;</w:t>
      </w:r>
    </w:p>
    <w:bookmarkEnd w:id="1685"/>
    <w:bookmarkStart w:name="z1431" w:id="1686"/>
    <w:p>
      <w:pPr>
        <w:spacing w:after="0"/>
        <w:ind w:left="0"/>
        <w:jc w:val="both"/>
      </w:pPr>
      <w:r>
        <w:rPr>
          <w:rFonts w:ascii="Times New Roman"/>
          <w:b w:val="false"/>
          <w:i w:val="false"/>
          <w:color w:val="000000"/>
          <w:sz w:val="28"/>
        </w:rPr>
        <w:t>
      4) необходимые кадровые и иные ресурсы.</w:t>
      </w:r>
    </w:p>
    <w:bookmarkEnd w:id="1686"/>
    <w:bookmarkStart w:name="z1432" w:id="1687"/>
    <w:p>
      <w:pPr>
        <w:spacing w:after="0"/>
        <w:ind w:left="0"/>
        <w:jc w:val="both"/>
      </w:pPr>
      <w:r>
        <w:rPr>
          <w:rFonts w:ascii="Times New Roman"/>
          <w:b w:val="false"/>
          <w:i w:val="false"/>
          <w:color w:val="000000"/>
          <w:sz w:val="28"/>
        </w:rPr>
        <w:t>
      Ежегодный план аудиторских проверок основывается на оценке рисков и при необходимости пересматривается в течение года.</w:t>
      </w:r>
    </w:p>
    <w:bookmarkEnd w:id="1687"/>
    <w:bookmarkStart w:name="z1433" w:id="1688"/>
    <w:p>
      <w:pPr>
        <w:spacing w:after="0"/>
        <w:ind w:left="0"/>
        <w:jc w:val="left"/>
      </w:pPr>
      <w:r>
        <w:rPr>
          <w:rFonts w:ascii="Times New Roman"/>
          <w:b/>
          <w:i w:val="false"/>
          <w:color w:val="000000"/>
        </w:rPr>
        <w:t xml:space="preserve"> Глава 13. Аутсорсинг</w:t>
      </w:r>
    </w:p>
    <w:bookmarkEnd w:id="1688"/>
    <w:bookmarkStart w:name="z1434" w:id="1689"/>
    <w:p>
      <w:pPr>
        <w:spacing w:after="0"/>
        <w:ind w:left="0"/>
        <w:jc w:val="both"/>
      </w:pPr>
      <w:r>
        <w:rPr>
          <w:rFonts w:ascii="Times New Roman"/>
          <w:b w:val="false"/>
          <w:i w:val="false"/>
          <w:color w:val="000000"/>
          <w:sz w:val="28"/>
        </w:rPr>
        <w:t>
      116. В случае привлечения внешних подрядчиков на аутсорсинг для выполнения отдельных операций и (или) осуществления бизнес-процессов совет директоров банка обеспечивает наличие эффективных принципов и практик управления рисками, возникающими в результате привлечения внешних подрядчиков. Мероприятия по привлечению внешних подрядчиков включают:</w:t>
      </w:r>
    </w:p>
    <w:bookmarkEnd w:id="1689"/>
    <w:bookmarkStart w:name="z1435" w:id="1690"/>
    <w:p>
      <w:pPr>
        <w:spacing w:after="0"/>
        <w:ind w:left="0"/>
        <w:jc w:val="both"/>
      </w:pPr>
      <w:r>
        <w:rPr>
          <w:rFonts w:ascii="Times New Roman"/>
          <w:b w:val="false"/>
          <w:i w:val="false"/>
          <w:color w:val="000000"/>
          <w:sz w:val="28"/>
        </w:rPr>
        <w:t>
      1) процедуры определения того, какие функции передаются на аутсорсинг и каким образом;</w:t>
      </w:r>
    </w:p>
    <w:bookmarkEnd w:id="1690"/>
    <w:bookmarkStart w:name="z1436" w:id="1691"/>
    <w:p>
      <w:pPr>
        <w:spacing w:after="0"/>
        <w:ind w:left="0"/>
        <w:jc w:val="both"/>
      </w:pPr>
      <w:r>
        <w:rPr>
          <w:rFonts w:ascii="Times New Roman"/>
          <w:b w:val="false"/>
          <w:i w:val="false"/>
          <w:color w:val="000000"/>
          <w:sz w:val="28"/>
        </w:rPr>
        <w:t>
      2) процессы осуществления проверки благонадежности финансового состояния компании при выборе потенциальных контрагентов;</w:t>
      </w:r>
    </w:p>
    <w:bookmarkEnd w:id="1691"/>
    <w:bookmarkStart w:name="z1437" w:id="1692"/>
    <w:p>
      <w:pPr>
        <w:spacing w:after="0"/>
        <w:ind w:left="0"/>
        <w:jc w:val="both"/>
      </w:pPr>
      <w:r>
        <w:rPr>
          <w:rFonts w:ascii="Times New Roman"/>
          <w:b w:val="false"/>
          <w:i w:val="false"/>
          <w:color w:val="000000"/>
          <w:sz w:val="28"/>
        </w:rPr>
        <w:t>
      3) надежные принципы заключения контрактов с внешними подрядчиками, учитывающие структуру их собственности, условий конфиденциальности и предусматривающие права на расторжение контрактов;</w:t>
      </w:r>
    </w:p>
    <w:bookmarkEnd w:id="1692"/>
    <w:bookmarkStart w:name="z1438" w:id="1693"/>
    <w:p>
      <w:pPr>
        <w:spacing w:after="0"/>
        <w:ind w:left="0"/>
        <w:jc w:val="both"/>
      </w:pPr>
      <w:r>
        <w:rPr>
          <w:rFonts w:ascii="Times New Roman"/>
          <w:b w:val="false"/>
          <w:i w:val="false"/>
          <w:color w:val="000000"/>
          <w:sz w:val="28"/>
        </w:rPr>
        <w:t>
      4) программы управления и мониторинга рисков, связанных с заключением таких контрактов, учитывающие финансовое положение источника услуг;</w:t>
      </w:r>
    </w:p>
    <w:bookmarkEnd w:id="1693"/>
    <w:bookmarkStart w:name="z1439" w:id="1694"/>
    <w:p>
      <w:pPr>
        <w:spacing w:after="0"/>
        <w:ind w:left="0"/>
        <w:jc w:val="both"/>
      </w:pPr>
      <w:r>
        <w:rPr>
          <w:rFonts w:ascii="Times New Roman"/>
          <w:b w:val="false"/>
          <w:i w:val="false"/>
          <w:color w:val="000000"/>
          <w:sz w:val="28"/>
        </w:rPr>
        <w:t>
      5) создание условий для осуществления эффективного контроля в банке и в организации, оказывающей услуги;</w:t>
      </w:r>
    </w:p>
    <w:bookmarkEnd w:id="1694"/>
    <w:bookmarkStart w:name="z1440" w:id="1695"/>
    <w:p>
      <w:pPr>
        <w:spacing w:after="0"/>
        <w:ind w:left="0"/>
        <w:jc w:val="both"/>
      </w:pPr>
      <w:r>
        <w:rPr>
          <w:rFonts w:ascii="Times New Roman"/>
          <w:b w:val="false"/>
          <w:i w:val="false"/>
          <w:color w:val="000000"/>
          <w:sz w:val="28"/>
        </w:rPr>
        <w:t>
      6) разработку эффективных планов на случай возникновения непредвиденных обстоятельств;</w:t>
      </w:r>
    </w:p>
    <w:bookmarkEnd w:id="1695"/>
    <w:p>
      <w:pPr>
        <w:spacing w:after="0"/>
        <w:ind w:left="0"/>
        <w:jc w:val="both"/>
      </w:pPr>
      <w:r>
        <w:rPr>
          <w:rFonts w:ascii="Times New Roman"/>
          <w:b w:val="false"/>
          <w:i w:val="false"/>
          <w:color w:val="000000"/>
          <w:sz w:val="28"/>
        </w:rPr>
        <w:t>
      7) выполнение комплексных контрактов и (или) договоров об оказании услуг с четким распределением обязанностей между организацией, оказывающей услуги и банком.</w:t>
      </w:r>
    </w:p>
    <w:bookmarkStart w:name="z3971" w:id="1696"/>
    <w:p>
      <w:pPr>
        <w:spacing w:after="0"/>
        <w:ind w:left="0"/>
        <w:jc w:val="left"/>
      </w:pPr>
      <w:r>
        <w:rPr>
          <w:rFonts w:ascii="Times New Roman"/>
          <w:b/>
          <w:i w:val="false"/>
          <w:color w:val="000000"/>
        </w:rPr>
        <w:t xml:space="preserve"> Глава 14. Управление залоговым обеспечением</w:t>
      </w:r>
    </w:p>
    <w:bookmarkEnd w:id="1696"/>
    <w:p>
      <w:pPr>
        <w:spacing w:after="0"/>
        <w:ind w:left="0"/>
        <w:jc w:val="both"/>
      </w:pPr>
      <w:r>
        <w:rPr>
          <w:rFonts w:ascii="Times New Roman"/>
          <w:b w:val="false"/>
          <w:i w:val="false"/>
          <w:color w:val="ff0000"/>
          <w:sz w:val="28"/>
        </w:rPr>
        <w:t xml:space="preserve">
      Сноска. Правила дополнены главой 14 в соответствии с постановлением Правления Агентства РК по регулированию и развитию финансового рынка от 29.12.2022 </w:t>
      </w:r>
      <w:r>
        <w:rPr>
          <w:rFonts w:ascii="Times New Roman"/>
          <w:b w:val="false"/>
          <w:i w:val="false"/>
          <w:color w:val="ff0000"/>
          <w:sz w:val="28"/>
        </w:rPr>
        <w:t>№ 119</w:t>
      </w:r>
      <w:r>
        <w:rPr>
          <w:rFonts w:ascii="Times New Roman"/>
          <w:b w:val="false"/>
          <w:i w:val="false"/>
          <w:color w:val="ff0000"/>
          <w:sz w:val="28"/>
        </w:rPr>
        <w:t xml:space="preserve"> (вводится в действие с 01.07.2023).</w:t>
      </w:r>
    </w:p>
    <w:bookmarkStart w:name="z3972" w:id="1697"/>
    <w:p>
      <w:pPr>
        <w:spacing w:after="0"/>
        <w:ind w:left="0"/>
        <w:jc w:val="both"/>
      </w:pPr>
      <w:r>
        <w:rPr>
          <w:rFonts w:ascii="Times New Roman"/>
          <w:b w:val="false"/>
          <w:i w:val="false"/>
          <w:color w:val="000000"/>
          <w:sz w:val="28"/>
        </w:rPr>
        <w:t>
      117. Банк обеспечивает функционирование подразделения залоговой службы, учитывающего стратегию, организационную структуру, объем активов, характер и уровень сложность бизнеса банка. Подразделение залоговой службы имеет четко определенные полномочия. Ресурсы подразделения залоговой службы определяются банком с учетом необходимости выполнения своих функций и обязанностей объективно и качественно.</w:t>
      </w:r>
    </w:p>
    <w:bookmarkEnd w:id="1697"/>
    <w:bookmarkStart w:name="z3973" w:id="1698"/>
    <w:p>
      <w:pPr>
        <w:spacing w:after="0"/>
        <w:ind w:left="0"/>
        <w:jc w:val="both"/>
      </w:pPr>
      <w:r>
        <w:rPr>
          <w:rFonts w:ascii="Times New Roman"/>
          <w:b w:val="false"/>
          <w:i w:val="false"/>
          <w:color w:val="000000"/>
          <w:sz w:val="28"/>
        </w:rPr>
        <w:t>
      Руководитель и работники подразделения залоговой службы не занимают должности в иных структурных подразделениях банка, когда возможен конфликт интересов между их обязанностями по оценке залогов и любыми другими возложенными на них обязанностями.</w:t>
      </w:r>
    </w:p>
    <w:bookmarkEnd w:id="1698"/>
    <w:bookmarkStart w:name="z3974" w:id="1699"/>
    <w:p>
      <w:pPr>
        <w:spacing w:after="0"/>
        <w:ind w:left="0"/>
        <w:jc w:val="both"/>
      </w:pPr>
      <w:r>
        <w:rPr>
          <w:rFonts w:ascii="Times New Roman"/>
          <w:b w:val="false"/>
          <w:i w:val="false"/>
          <w:color w:val="000000"/>
          <w:sz w:val="28"/>
        </w:rPr>
        <w:t>
      Подразделение залоговой службы руководствуется в своей деятельности требованиям законодательства Республики Казахстан, стандартами оценки и (или) международными стандартами оценки.</w:t>
      </w:r>
    </w:p>
    <w:bookmarkEnd w:id="1699"/>
    <w:bookmarkStart w:name="z3975" w:id="1700"/>
    <w:p>
      <w:pPr>
        <w:spacing w:after="0"/>
        <w:ind w:left="0"/>
        <w:jc w:val="both"/>
      </w:pPr>
      <w:r>
        <w:rPr>
          <w:rFonts w:ascii="Times New Roman"/>
          <w:b w:val="false"/>
          <w:i w:val="false"/>
          <w:color w:val="000000"/>
          <w:sz w:val="28"/>
        </w:rPr>
        <w:t>
      118. Внутренние документы банка способствуют повышению эффективности работы подразделения залоговой службы посредством установления:</w:t>
      </w:r>
    </w:p>
    <w:bookmarkEnd w:id="1700"/>
    <w:bookmarkStart w:name="z3976" w:id="1701"/>
    <w:p>
      <w:pPr>
        <w:spacing w:after="0"/>
        <w:ind w:left="0"/>
        <w:jc w:val="both"/>
      </w:pPr>
      <w:r>
        <w:rPr>
          <w:rFonts w:ascii="Times New Roman"/>
          <w:b w:val="false"/>
          <w:i w:val="false"/>
          <w:color w:val="000000"/>
          <w:sz w:val="28"/>
        </w:rPr>
        <w:t>
      1) требований к проведению подразделением залоговой службы внутренней оценки залога в рамках принятия решений о выдаче займа и управления кредитным риском;</w:t>
      </w:r>
    </w:p>
    <w:bookmarkEnd w:id="1701"/>
    <w:bookmarkStart w:name="z3977" w:id="1702"/>
    <w:p>
      <w:pPr>
        <w:spacing w:after="0"/>
        <w:ind w:left="0"/>
        <w:jc w:val="both"/>
      </w:pPr>
      <w:r>
        <w:rPr>
          <w:rFonts w:ascii="Times New Roman"/>
          <w:b w:val="false"/>
          <w:i w:val="false"/>
          <w:color w:val="000000"/>
          <w:sz w:val="28"/>
        </w:rPr>
        <w:t>
      2) требований для работников подразделения залоговой службы по наличию достаточных знаний об оценочной деятельности и методах проведения оценки, навыков сбора необходимой и достаточной информации, умения проводить анализ и оценку для выполнения своих должностных обязанностей;</w:t>
      </w:r>
    </w:p>
    <w:bookmarkEnd w:id="1702"/>
    <w:bookmarkStart w:name="z3978" w:id="1703"/>
    <w:p>
      <w:pPr>
        <w:spacing w:after="0"/>
        <w:ind w:left="0"/>
        <w:jc w:val="both"/>
      </w:pPr>
      <w:r>
        <w:rPr>
          <w:rFonts w:ascii="Times New Roman"/>
          <w:b w:val="false"/>
          <w:i w:val="false"/>
          <w:color w:val="000000"/>
          <w:sz w:val="28"/>
        </w:rPr>
        <w:t>
      3) требований проводить периодическую оценку эффективности залоговой службы.</w:t>
      </w:r>
    </w:p>
    <w:bookmarkEnd w:id="1703"/>
    <w:bookmarkStart w:name="z3979" w:id="1704"/>
    <w:p>
      <w:pPr>
        <w:spacing w:after="0"/>
        <w:ind w:left="0"/>
        <w:jc w:val="both"/>
      </w:pPr>
      <w:r>
        <w:rPr>
          <w:rFonts w:ascii="Times New Roman"/>
          <w:b w:val="false"/>
          <w:i w:val="false"/>
          <w:color w:val="000000"/>
          <w:sz w:val="28"/>
        </w:rPr>
        <w:t>
      119. Эффективная деятельность подразделения залоговой службы основывается на следующих принципах:</w:t>
      </w:r>
    </w:p>
    <w:bookmarkEnd w:id="1704"/>
    <w:bookmarkStart w:name="z3980" w:id="1705"/>
    <w:p>
      <w:pPr>
        <w:spacing w:after="0"/>
        <w:ind w:left="0"/>
        <w:jc w:val="both"/>
      </w:pPr>
      <w:r>
        <w:rPr>
          <w:rFonts w:ascii="Times New Roman"/>
          <w:b w:val="false"/>
          <w:i w:val="false"/>
          <w:color w:val="000000"/>
          <w:sz w:val="28"/>
        </w:rPr>
        <w:t>
      1) отсутствие конфликта интересов в деятельности работников подразделения залоговой службы;</w:t>
      </w:r>
    </w:p>
    <w:bookmarkEnd w:id="1705"/>
    <w:bookmarkStart w:name="z3981" w:id="1706"/>
    <w:p>
      <w:pPr>
        <w:spacing w:after="0"/>
        <w:ind w:left="0"/>
        <w:jc w:val="both"/>
      </w:pPr>
      <w:r>
        <w:rPr>
          <w:rFonts w:ascii="Times New Roman"/>
          <w:b w:val="false"/>
          <w:i w:val="false"/>
          <w:color w:val="000000"/>
          <w:sz w:val="28"/>
        </w:rPr>
        <w:t>
      2) отсутствие связи между вознаграждением работников подразделения залоговой службы и финансовых результатов деятельности иных отдельных структурных подразделений банка. Премиальная часть вознаграждения руководителя и работников подразделения залоговой службы устанавливается таким образом, чтобы исключить возникновение конфликта интересов и не ставить под сомнение объективность деятельности подразделения залоговой службы;</w:t>
      </w:r>
    </w:p>
    <w:bookmarkEnd w:id="1706"/>
    <w:bookmarkStart w:name="z3982" w:id="1707"/>
    <w:p>
      <w:pPr>
        <w:spacing w:after="0"/>
        <w:ind w:left="0"/>
        <w:jc w:val="both"/>
      </w:pPr>
      <w:r>
        <w:rPr>
          <w:rFonts w:ascii="Times New Roman"/>
          <w:b w:val="false"/>
          <w:i w:val="false"/>
          <w:color w:val="000000"/>
          <w:sz w:val="28"/>
        </w:rPr>
        <w:t xml:space="preserve">
      3) профессиональная компетентность работников подразделения залоговой службы (наличие у руководителя подразделения залоговой службы свидетельства о присвоении квалификации "оценщик", выданного палатой оценщиков, и членства в одной из палат оценщиков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1707"/>
    <w:bookmarkStart w:name="z3983" w:id="1708"/>
    <w:p>
      <w:pPr>
        <w:spacing w:after="0"/>
        <w:ind w:left="0"/>
        <w:jc w:val="both"/>
      </w:pPr>
      <w:r>
        <w:rPr>
          <w:rFonts w:ascii="Times New Roman"/>
          <w:b w:val="false"/>
          <w:i w:val="false"/>
          <w:color w:val="000000"/>
          <w:sz w:val="28"/>
        </w:rPr>
        <w:t>
      120. Банк утверждает положение о подразделении залоговой службы в целях обеспечения эффективности деятельности. Положение включает, но не ограничиваясь, следующее:</w:t>
      </w:r>
    </w:p>
    <w:bookmarkEnd w:id="1708"/>
    <w:bookmarkStart w:name="z3984" w:id="1709"/>
    <w:p>
      <w:pPr>
        <w:spacing w:after="0"/>
        <w:ind w:left="0"/>
        <w:jc w:val="both"/>
      </w:pPr>
      <w:r>
        <w:rPr>
          <w:rFonts w:ascii="Times New Roman"/>
          <w:b w:val="false"/>
          <w:i w:val="false"/>
          <w:color w:val="000000"/>
          <w:sz w:val="28"/>
        </w:rPr>
        <w:t>
      1) статус подразделения залоговой службы в банке, полномочия, обязанности и внутренний порядок взаимодействия с иными подразделениями банка;</w:t>
      </w:r>
    </w:p>
    <w:bookmarkEnd w:id="1709"/>
    <w:bookmarkStart w:name="z3985" w:id="1710"/>
    <w:p>
      <w:pPr>
        <w:spacing w:after="0"/>
        <w:ind w:left="0"/>
        <w:jc w:val="both"/>
      </w:pPr>
      <w:r>
        <w:rPr>
          <w:rFonts w:ascii="Times New Roman"/>
          <w:b w:val="false"/>
          <w:i w:val="false"/>
          <w:color w:val="000000"/>
          <w:sz w:val="28"/>
        </w:rPr>
        <w:t>
      2) задачи и сферу деятельности подразделения залоговой службы;</w:t>
      </w:r>
    </w:p>
    <w:bookmarkEnd w:id="1710"/>
    <w:bookmarkStart w:name="z3986" w:id="1711"/>
    <w:p>
      <w:pPr>
        <w:spacing w:after="0"/>
        <w:ind w:left="0"/>
        <w:jc w:val="both"/>
      </w:pPr>
      <w:r>
        <w:rPr>
          <w:rFonts w:ascii="Times New Roman"/>
          <w:b w:val="false"/>
          <w:i w:val="false"/>
          <w:color w:val="000000"/>
          <w:sz w:val="28"/>
        </w:rPr>
        <w:t>
      3) ответственность и подотчетность подразделения залоговой службы;</w:t>
      </w:r>
    </w:p>
    <w:bookmarkEnd w:id="1711"/>
    <w:bookmarkStart w:name="z3987" w:id="1712"/>
    <w:p>
      <w:pPr>
        <w:spacing w:after="0"/>
        <w:ind w:left="0"/>
        <w:jc w:val="both"/>
      </w:pPr>
      <w:r>
        <w:rPr>
          <w:rFonts w:ascii="Times New Roman"/>
          <w:b w:val="false"/>
          <w:i w:val="false"/>
          <w:color w:val="000000"/>
          <w:sz w:val="28"/>
        </w:rPr>
        <w:t>
      4) требования о соблюдении национальных стандартов оценки;</w:t>
      </w:r>
    </w:p>
    <w:bookmarkEnd w:id="1712"/>
    <w:bookmarkStart w:name="z3988" w:id="1713"/>
    <w:p>
      <w:pPr>
        <w:spacing w:after="0"/>
        <w:ind w:left="0"/>
        <w:jc w:val="both"/>
      </w:pPr>
      <w:r>
        <w:rPr>
          <w:rFonts w:ascii="Times New Roman"/>
          <w:b w:val="false"/>
          <w:i w:val="false"/>
          <w:color w:val="000000"/>
          <w:sz w:val="28"/>
        </w:rPr>
        <w:t>
      5) требования о ведении статистического журнала стоимости залогового обеспечения.</w:t>
      </w:r>
    </w:p>
    <w:bookmarkEnd w:id="1713"/>
    <w:bookmarkStart w:name="z5103" w:id="1714"/>
    <w:p>
      <w:pPr>
        <w:spacing w:after="0"/>
        <w:ind w:left="0"/>
        <w:jc w:val="left"/>
      </w:pPr>
      <w:r>
        <w:rPr>
          <w:rFonts w:ascii="Times New Roman"/>
          <w:b/>
          <w:i w:val="false"/>
          <w:color w:val="000000"/>
        </w:rPr>
        <w:t xml:space="preserve"> Глава 15. Управление рисками мошенничества при использовании банковских услуг, предоставляемых физическим лицам</w:t>
      </w:r>
    </w:p>
    <w:bookmarkEnd w:id="1714"/>
    <w:p>
      <w:pPr>
        <w:spacing w:after="0"/>
        <w:ind w:left="0"/>
        <w:jc w:val="both"/>
      </w:pPr>
      <w:r>
        <w:rPr>
          <w:rFonts w:ascii="Times New Roman"/>
          <w:b w:val="false"/>
          <w:i w:val="false"/>
          <w:color w:val="ff0000"/>
          <w:sz w:val="28"/>
        </w:rPr>
        <w:t xml:space="preserve">
      Сноска. Правила дополнены главой 15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04" w:id="1715"/>
    <w:p>
      <w:pPr>
        <w:spacing w:after="0"/>
        <w:ind w:left="0"/>
        <w:jc w:val="both"/>
      </w:pPr>
      <w:r>
        <w:rPr>
          <w:rFonts w:ascii="Times New Roman"/>
          <w:b w:val="false"/>
          <w:i w:val="false"/>
          <w:color w:val="000000"/>
          <w:sz w:val="28"/>
        </w:rPr>
        <w:t>
      121. Совет директоров банка обеспечивает наличие эффективной системы управления рисками мошенничества, которая соответствует рыночной ситуации, стратегии, объему активов, уровню сложности операций банка и обеспечивает эффективное выявление, измерение, мониторинг и контроль с целью противодействия мошенничеству при использовании банковских услуг и включает, но не ограничиваясь, следующее:</w:t>
      </w:r>
    </w:p>
    <w:bookmarkEnd w:id="1715"/>
    <w:bookmarkStart w:name="z5105" w:id="1716"/>
    <w:p>
      <w:pPr>
        <w:spacing w:after="0"/>
        <w:ind w:left="0"/>
        <w:jc w:val="both"/>
      </w:pPr>
      <w:r>
        <w:rPr>
          <w:rFonts w:ascii="Times New Roman"/>
          <w:b w:val="false"/>
          <w:i w:val="false"/>
          <w:color w:val="000000"/>
          <w:sz w:val="28"/>
        </w:rPr>
        <w:t>
      1) политику и процедуры по борьбе с мошенничеством;</w:t>
      </w:r>
    </w:p>
    <w:bookmarkEnd w:id="1716"/>
    <w:bookmarkStart w:name="z5106" w:id="1717"/>
    <w:p>
      <w:pPr>
        <w:spacing w:after="0"/>
        <w:ind w:left="0"/>
        <w:jc w:val="both"/>
      </w:pPr>
      <w:r>
        <w:rPr>
          <w:rFonts w:ascii="Times New Roman"/>
          <w:b w:val="false"/>
          <w:i w:val="false"/>
          <w:color w:val="000000"/>
          <w:sz w:val="28"/>
        </w:rPr>
        <w:t>
      2) систему управленческой отчетности;</w:t>
      </w:r>
    </w:p>
    <w:bookmarkEnd w:id="1717"/>
    <w:bookmarkStart w:name="z5107" w:id="1718"/>
    <w:p>
      <w:pPr>
        <w:spacing w:after="0"/>
        <w:ind w:left="0"/>
        <w:jc w:val="both"/>
      </w:pPr>
      <w:r>
        <w:rPr>
          <w:rFonts w:ascii="Times New Roman"/>
          <w:b w:val="false"/>
          <w:i w:val="false"/>
          <w:color w:val="000000"/>
          <w:sz w:val="28"/>
        </w:rPr>
        <w:t>
      3) информационные технологии, в том числе антифрод-систему банка.</w:t>
      </w:r>
    </w:p>
    <w:bookmarkEnd w:id="1718"/>
    <w:bookmarkStart w:name="z5108" w:id="1719"/>
    <w:p>
      <w:pPr>
        <w:spacing w:after="0"/>
        <w:ind w:left="0"/>
        <w:jc w:val="both"/>
      </w:pPr>
      <w:r>
        <w:rPr>
          <w:rFonts w:ascii="Times New Roman"/>
          <w:b w:val="false"/>
          <w:i w:val="false"/>
          <w:color w:val="000000"/>
          <w:sz w:val="28"/>
        </w:rPr>
        <w:t>
      122. В функции подразделений банка в рамках управления рисками мошенничества входит, но не ограничиваясь, следующее:</w:t>
      </w:r>
    </w:p>
    <w:bookmarkEnd w:id="1719"/>
    <w:bookmarkStart w:name="z5109" w:id="1720"/>
    <w:p>
      <w:pPr>
        <w:spacing w:after="0"/>
        <w:ind w:left="0"/>
        <w:jc w:val="both"/>
      </w:pPr>
      <w:r>
        <w:rPr>
          <w:rFonts w:ascii="Times New Roman"/>
          <w:b w:val="false"/>
          <w:i w:val="false"/>
          <w:color w:val="000000"/>
          <w:sz w:val="28"/>
        </w:rPr>
        <w:t>
      1) разработка плана мероприятий по реализации стратегии банка по противодействию мошенничеству, который раскрывает, но, не ограничивается, следующим:</w:t>
      </w:r>
    </w:p>
    <w:bookmarkEnd w:id="1720"/>
    <w:bookmarkStart w:name="z5110" w:id="1721"/>
    <w:p>
      <w:pPr>
        <w:spacing w:after="0"/>
        <w:ind w:left="0"/>
        <w:jc w:val="both"/>
      </w:pPr>
      <w:r>
        <w:rPr>
          <w:rFonts w:ascii="Times New Roman"/>
          <w:b w:val="false"/>
          <w:i w:val="false"/>
          <w:color w:val="000000"/>
          <w:sz w:val="28"/>
        </w:rPr>
        <w:t>
      определение потребностей в ресурсах, в том числе определение бюджета, необходимого для реализации процессов противодействия мошенничеству;</w:t>
      </w:r>
    </w:p>
    <w:bookmarkEnd w:id="1721"/>
    <w:bookmarkStart w:name="z5111" w:id="1722"/>
    <w:p>
      <w:pPr>
        <w:spacing w:after="0"/>
        <w:ind w:left="0"/>
        <w:jc w:val="both"/>
      </w:pPr>
      <w:r>
        <w:rPr>
          <w:rFonts w:ascii="Times New Roman"/>
          <w:b w:val="false"/>
          <w:i w:val="false"/>
          <w:color w:val="000000"/>
          <w:sz w:val="28"/>
        </w:rPr>
        <w:t>
      описание требуемых мероприятий по противодействию мошенничеству с указанием сроков и ответственных за их реализацию;</w:t>
      </w:r>
    </w:p>
    <w:bookmarkEnd w:id="1722"/>
    <w:bookmarkStart w:name="z5112" w:id="1723"/>
    <w:p>
      <w:pPr>
        <w:spacing w:after="0"/>
        <w:ind w:left="0"/>
        <w:jc w:val="both"/>
      </w:pPr>
      <w:r>
        <w:rPr>
          <w:rFonts w:ascii="Times New Roman"/>
          <w:b w:val="false"/>
          <w:i w:val="false"/>
          <w:color w:val="000000"/>
          <w:sz w:val="28"/>
        </w:rPr>
        <w:t>
      2) разработка и внедрение превентивных способов, моделей, технологий и процессов противодействия мошенничеству в отношении клиентов банка на внешних каналах обслуживания и совершенного работниками банка;</w:t>
      </w:r>
    </w:p>
    <w:bookmarkEnd w:id="1723"/>
    <w:bookmarkStart w:name="z5113" w:id="1724"/>
    <w:p>
      <w:pPr>
        <w:spacing w:after="0"/>
        <w:ind w:left="0"/>
        <w:jc w:val="both"/>
      </w:pPr>
      <w:r>
        <w:rPr>
          <w:rFonts w:ascii="Times New Roman"/>
          <w:b w:val="false"/>
          <w:i w:val="false"/>
          <w:color w:val="000000"/>
          <w:sz w:val="28"/>
        </w:rPr>
        <w:t>
      3) внедрение, обеспечение, функционирование и непрерывное улучшение процессов противодействия мошенничеству и цифровых каналов предоставления финансовых продуктов и (или) услуг;</w:t>
      </w:r>
    </w:p>
    <w:bookmarkEnd w:id="1724"/>
    <w:bookmarkStart w:name="z5114" w:id="1725"/>
    <w:p>
      <w:pPr>
        <w:spacing w:after="0"/>
        <w:ind w:left="0"/>
        <w:jc w:val="both"/>
      </w:pPr>
      <w:r>
        <w:rPr>
          <w:rFonts w:ascii="Times New Roman"/>
          <w:b w:val="false"/>
          <w:i w:val="false"/>
          <w:color w:val="000000"/>
          <w:sz w:val="28"/>
        </w:rPr>
        <w:t>
      4) оценка бизнес-процессов и внедряемых финансовых продуктов и (или) услуг на предмет рисков мошенничества;</w:t>
      </w:r>
    </w:p>
    <w:bookmarkEnd w:id="1725"/>
    <w:bookmarkStart w:name="z5115" w:id="1726"/>
    <w:p>
      <w:pPr>
        <w:spacing w:after="0"/>
        <w:ind w:left="0"/>
        <w:jc w:val="both"/>
      </w:pPr>
      <w:r>
        <w:rPr>
          <w:rFonts w:ascii="Times New Roman"/>
          <w:b w:val="false"/>
          <w:i w:val="false"/>
          <w:color w:val="000000"/>
          <w:sz w:val="28"/>
        </w:rPr>
        <w:t>
      5) обеспечение соответствия регуляторным требованиям в сфере противодействия мошенничеству при предоставлении финансовых продуктов и (или) услуг, разработка и последующая методологическая поддержка при установлении контрольных процедур во внутренних документах банка;</w:t>
      </w:r>
    </w:p>
    <w:bookmarkEnd w:id="1726"/>
    <w:bookmarkStart w:name="z5116" w:id="1727"/>
    <w:p>
      <w:pPr>
        <w:spacing w:after="0"/>
        <w:ind w:left="0"/>
        <w:jc w:val="both"/>
      </w:pPr>
      <w:r>
        <w:rPr>
          <w:rFonts w:ascii="Times New Roman"/>
          <w:b w:val="false"/>
          <w:i w:val="false"/>
          <w:color w:val="000000"/>
          <w:sz w:val="28"/>
        </w:rPr>
        <w:t>
      6) выявление и аналитика внешних и внутренних данных, а также предупреждение новых схем мошенничества;</w:t>
      </w:r>
    </w:p>
    <w:bookmarkEnd w:id="1727"/>
    <w:bookmarkStart w:name="z5117" w:id="1728"/>
    <w:p>
      <w:pPr>
        <w:spacing w:after="0"/>
        <w:ind w:left="0"/>
        <w:jc w:val="both"/>
      </w:pPr>
      <w:r>
        <w:rPr>
          <w:rFonts w:ascii="Times New Roman"/>
          <w:b w:val="false"/>
          <w:i w:val="false"/>
          <w:color w:val="000000"/>
          <w:sz w:val="28"/>
        </w:rPr>
        <w:t>
      7) разработка типологии подозрительных операций с признаками мошенничества;</w:t>
      </w:r>
    </w:p>
    <w:bookmarkEnd w:id="1728"/>
    <w:bookmarkStart w:name="z5118" w:id="1729"/>
    <w:p>
      <w:pPr>
        <w:spacing w:after="0"/>
        <w:ind w:left="0"/>
        <w:jc w:val="both"/>
      </w:pPr>
      <w:r>
        <w:rPr>
          <w:rFonts w:ascii="Times New Roman"/>
          <w:b w:val="false"/>
          <w:i w:val="false"/>
          <w:color w:val="000000"/>
          <w:sz w:val="28"/>
        </w:rPr>
        <w:t>
      8) формирование списка лиц, осуществляющих подозрительные операции с признаками мошенничества и списка мошенников;</w:t>
      </w:r>
    </w:p>
    <w:bookmarkEnd w:id="1729"/>
    <w:bookmarkStart w:name="z5119" w:id="1730"/>
    <w:p>
      <w:pPr>
        <w:spacing w:after="0"/>
        <w:ind w:left="0"/>
        <w:jc w:val="both"/>
      </w:pPr>
      <w:r>
        <w:rPr>
          <w:rFonts w:ascii="Times New Roman"/>
          <w:b w:val="false"/>
          <w:i w:val="false"/>
          <w:color w:val="000000"/>
          <w:sz w:val="28"/>
        </w:rPr>
        <w:t>
      9) осуществление мониторинга подозрительных операций с признаками мошенничества, поведения клиентов, работников и третьих лиц с признаками мошенничества;</w:t>
      </w:r>
    </w:p>
    <w:bookmarkEnd w:id="1730"/>
    <w:bookmarkStart w:name="z5120" w:id="1731"/>
    <w:p>
      <w:pPr>
        <w:spacing w:after="0"/>
        <w:ind w:left="0"/>
        <w:jc w:val="both"/>
      </w:pPr>
      <w:r>
        <w:rPr>
          <w:rFonts w:ascii="Times New Roman"/>
          <w:b w:val="false"/>
          <w:i w:val="false"/>
          <w:color w:val="000000"/>
          <w:sz w:val="28"/>
        </w:rPr>
        <w:t>
      10) ведение и непрерывное обновление базы данных инцидентов с признаками мошенничества;</w:t>
      </w:r>
    </w:p>
    <w:bookmarkEnd w:id="1731"/>
    <w:bookmarkStart w:name="z5121" w:id="1732"/>
    <w:p>
      <w:pPr>
        <w:spacing w:after="0"/>
        <w:ind w:left="0"/>
        <w:jc w:val="both"/>
      </w:pPr>
      <w:r>
        <w:rPr>
          <w:rFonts w:ascii="Times New Roman"/>
          <w:b w:val="false"/>
          <w:i w:val="false"/>
          <w:color w:val="000000"/>
          <w:sz w:val="28"/>
        </w:rPr>
        <w:t>
      11) передача данных о подозрительных операциях с признаками мошенничества в антифрод-центр НБРК в круглосуточном режиме и непрерывное обогащение новой информацией по мере появления;</w:t>
      </w:r>
    </w:p>
    <w:bookmarkEnd w:id="1732"/>
    <w:bookmarkStart w:name="z5122" w:id="1733"/>
    <w:p>
      <w:pPr>
        <w:spacing w:after="0"/>
        <w:ind w:left="0"/>
        <w:jc w:val="both"/>
      </w:pPr>
      <w:r>
        <w:rPr>
          <w:rFonts w:ascii="Times New Roman"/>
          <w:b w:val="false"/>
          <w:i w:val="false"/>
          <w:color w:val="000000"/>
          <w:sz w:val="28"/>
        </w:rPr>
        <w:t xml:space="preserve">
      12) обеспечение взаимодействия с антифрод-центром НБРК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2024 года № 43 "Об утверждении Требований к порядку осуществления деятельности центра обмена данными по платежным транзакциям с признаками мошенничества и его взаимодействия с лицами, участвующими в его деятельности", зарегистрированным в Реестре государственной регистрации нормативных правовых актов под № 34772;</w:t>
      </w:r>
    </w:p>
    <w:bookmarkEnd w:id="1733"/>
    <w:bookmarkStart w:name="z5123" w:id="1734"/>
    <w:p>
      <w:pPr>
        <w:spacing w:after="0"/>
        <w:ind w:left="0"/>
        <w:jc w:val="both"/>
      </w:pPr>
      <w:r>
        <w:rPr>
          <w:rFonts w:ascii="Times New Roman"/>
          <w:b w:val="false"/>
          <w:i w:val="false"/>
          <w:color w:val="000000"/>
          <w:sz w:val="28"/>
        </w:rPr>
        <w:t>
      13) обеспечение повышения осведомленности клиентов банка, работников банка и третьих сторон в области противодействия мошенничеству, путем постоянного (периодического) информирования;</w:t>
      </w:r>
    </w:p>
    <w:bookmarkEnd w:id="1734"/>
    <w:bookmarkStart w:name="z5124" w:id="1735"/>
    <w:p>
      <w:pPr>
        <w:spacing w:after="0"/>
        <w:ind w:left="0"/>
        <w:jc w:val="both"/>
      </w:pPr>
      <w:r>
        <w:rPr>
          <w:rFonts w:ascii="Times New Roman"/>
          <w:b w:val="false"/>
          <w:i w:val="false"/>
          <w:color w:val="000000"/>
          <w:sz w:val="28"/>
        </w:rPr>
        <w:t>
      14) выявление, фиксация и анализ фактов внутреннего и внешнего мошенничества;</w:t>
      </w:r>
    </w:p>
    <w:bookmarkEnd w:id="1735"/>
    <w:bookmarkStart w:name="z5125" w:id="1736"/>
    <w:p>
      <w:pPr>
        <w:spacing w:after="0"/>
        <w:ind w:left="0"/>
        <w:jc w:val="both"/>
      </w:pPr>
      <w:r>
        <w:rPr>
          <w:rFonts w:ascii="Times New Roman"/>
          <w:b w:val="false"/>
          <w:i w:val="false"/>
          <w:color w:val="000000"/>
          <w:sz w:val="28"/>
        </w:rPr>
        <w:t>
      15) участие во внутренних проверках, выработка корректирующих мер и рекомендаций по результатам внутренних проверок, контроль их реализации и составление заключений по результатам внутренней проверки;</w:t>
      </w:r>
    </w:p>
    <w:bookmarkEnd w:id="1736"/>
    <w:bookmarkStart w:name="z5126" w:id="1737"/>
    <w:p>
      <w:pPr>
        <w:spacing w:after="0"/>
        <w:ind w:left="0"/>
        <w:jc w:val="both"/>
      </w:pPr>
      <w:r>
        <w:rPr>
          <w:rFonts w:ascii="Times New Roman"/>
          <w:b w:val="false"/>
          <w:i w:val="false"/>
          <w:color w:val="000000"/>
          <w:sz w:val="28"/>
        </w:rPr>
        <w:t>
      16) подготовка предложений для принятия коллегиальным органом решений по вопросам противодействия мошенничеству, в том числе по возмещению ущерба или списания кредита в случае неисполнения банком собственных алгоритмов и моделей оценки риска мошенничества при проведении операции, выдаче займа (при необходимости);</w:t>
      </w:r>
    </w:p>
    <w:bookmarkEnd w:id="1737"/>
    <w:bookmarkStart w:name="z5127" w:id="1738"/>
    <w:p>
      <w:pPr>
        <w:spacing w:after="0"/>
        <w:ind w:left="0"/>
        <w:jc w:val="both"/>
      </w:pPr>
      <w:r>
        <w:rPr>
          <w:rFonts w:ascii="Times New Roman"/>
          <w:b w:val="false"/>
          <w:i w:val="false"/>
          <w:color w:val="000000"/>
          <w:sz w:val="28"/>
        </w:rPr>
        <w:t>
      17) подготовка и предоставление управленческой отчетности о реализации рисков мошенничества, а также об устранении их последствий в соответствии с внутренними документами.</w:t>
      </w:r>
    </w:p>
    <w:bookmarkEnd w:id="1738"/>
    <w:bookmarkStart w:name="z5128" w:id="1739"/>
    <w:p>
      <w:pPr>
        <w:spacing w:after="0"/>
        <w:ind w:left="0"/>
        <w:jc w:val="both"/>
      </w:pPr>
      <w:r>
        <w:rPr>
          <w:rFonts w:ascii="Times New Roman"/>
          <w:b w:val="false"/>
          <w:i w:val="false"/>
          <w:color w:val="000000"/>
          <w:sz w:val="28"/>
        </w:rPr>
        <w:t>
      123. Подразделения банка в рамках управления рисками мошенничества разрабатывают внутренний документ, определяющий порядок управления рисками мошенничества, который включает, но не ограничиваясь, следующие процедуры:</w:t>
      </w:r>
    </w:p>
    <w:bookmarkEnd w:id="1739"/>
    <w:bookmarkStart w:name="z5129" w:id="1740"/>
    <w:p>
      <w:pPr>
        <w:spacing w:after="0"/>
        <w:ind w:left="0"/>
        <w:jc w:val="both"/>
      </w:pPr>
      <w:r>
        <w:rPr>
          <w:rFonts w:ascii="Times New Roman"/>
          <w:b w:val="false"/>
          <w:i w:val="false"/>
          <w:color w:val="000000"/>
          <w:sz w:val="28"/>
        </w:rPr>
        <w:t>
      1) идентификации рисков мошенничества и определение индикаторов раннего обнаружения подверженности рискам мошенничества;</w:t>
      </w:r>
    </w:p>
    <w:bookmarkEnd w:id="1740"/>
    <w:bookmarkStart w:name="z5130" w:id="1741"/>
    <w:p>
      <w:pPr>
        <w:spacing w:after="0"/>
        <w:ind w:left="0"/>
        <w:jc w:val="both"/>
      </w:pPr>
      <w:r>
        <w:rPr>
          <w:rFonts w:ascii="Times New Roman"/>
          <w:b w:val="false"/>
          <w:i w:val="false"/>
          <w:color w:val="000000"/>
          <w:sz w:val="28"/>
        </w:rPr>
        <w:t>
      2) оценки вероятности и последствий всех выявленных рисков мошенничества, применяя качественные и (или) количественные методы оценки, в том числе на основании данных об их реализации;</w:t>
      </w:r>
    </w:p>
    <w:bookmarkEnd w:id="1741"/>
    <w:bookmarkStart w:name="z5131" w:id="1742"/>
    <w:p>
      <w:pPr>
        <w:spacing w:after="0"/>
        <w:ind w:left="0"/>
        <w:jc w:val="both"/>
      </w:pPr>
      <w:r>
        <w:rPr>
          <w:rFonts w:ascii="Times New Roman"/>
          <w:b w:val="false"/>
          <w:i w:val="false"/>
          <w:color w:val="000000"/>
          <w:sz w:val="28"/>
        </w:rPr>
        <w:t>
      3) сбора и хранения сведений о реализации существенных рисков мошенничества;</w:t>
      </w:r>
    </w:p>
    <w:bookmarkEnd w:id="1742"/>
    <w:bookmarkStart w:name="z5132" w:id="1743"/>
    <w:p>
      <w:pPr>
        <w:spacing w:after="0"/>
        <w:ind w:left="0"/>
        <w:jc w:val="both"/>
      </w:pPr>
      <w:r>
        <w:rPr>
          <w:rFonts w:ascii="Times New Roman"/>
          <w:b w:val="false"/>
          <w:i w:val="false"/>
          <w:color w:val="000000"/>
          <w:sz w:val="28"/>
        </w:rPr>
        <w:t>
      4) формирования реестра рисков, включающего риски мошенничества;</w:t>
      </w:r>
    </w:p>
    <w:bookmarkEnd w:id="1743"/>
    <w:bookmarkStart w:name="z5133" w:id="1744"/>
    <w:p>
      <w:pPr>
        <w:spacing w:after="0"/>
        <w:ind w:left="0"/>
        <w:jc w:val="both"/>
      </w:pPr>
      <w:r>
        <w:rPr>
          <w:rFonts w:ascii="Times New Roman"/>
          <w:b w:val="false"/>
          <w:i w:val="false"/>
          <w:color w:val="000000"/>
          <w:sz w:val="28"/>
        </w:rPr>
        <w:t>
      5) разработки мер минимизации рисков мошенничества;</w:t>
      </w:r>
    </w:p>
    <w:bookmarkEnd w:id="1744"/>
    <w:bookmarkStart w:name="z5134" w:id="1745"/>
    <w:p>
      <w:pPr>
        <w:spacing w:after="0"/>
        <w:ind w:left="0"/>
        <w:jc w:val="both"/>
      </w:pPr>
      <w:r>
        <w:rPr>
          <w:rFonts w:ascii="Times New Roman"/>
          <w:b w:val="false"/>
          <w:i w:val="false"/>
          <w:color w:val="000000"/>
          <w:sz w:val="28"/>
        </w:rPr>
        <w:t>
      6) мониторинга исполнения мер по обработке рисков мошенничества.</w:t>
      </w:r>
    </w:p>
    <w:bookmarkEnd w:id="1745"/>
    <w:bookmarkStart w:name="z5135" w:id="1746"/>
    <w:p>
      <w:pPr>
        <w:spacing w:after="0"/>
        <w:ind w:left="0"/>
        <w:jc w:val="both"/>
      </w:pPr>
      <w:r>
        <w:rPr>
          <w:rFonts w:ascii="Times New Roman"/>
          <w:b w:val="false"/>
          <w:i w:val="false"/>
          <w:color w:val="000000"/>
          <w:sz w:val="28"/>
        </w:rPr>
        <w:t>
      124. Антифрод-система банка отвечает следующим требованиям:</w:t>
      </w:r>
    </w:p>
    <w:bookmarkEnd w:id="1746"/>
    <w:bookmarkStart w:name="z5136" w:id="1747"/>
    <w:p>
      <w:pPr>
        <w:spacing w:after="0"/>
        <w:ind w:left="0"/>
        <w:jc w:val="both"/>
      </w:pPr>
      <w:r>
        <w:rPr>
          <w:rFonts w:ascii="Times New Roman"/>
          <w:b w:val="false"/>
          <w:i w:val="false"/>
          <w:color w:val="000000"/>
          <w:sz w:val="28"/>
        </w:rPr>
        <w:t>
      1) обеспечивает техническую интеграцию с антифрод-центром НБРК;</w:t>
      </w:r>
    </w:p>
    <w:bookmarkEnd w:id="1747"/>
    <w:bookmarkStart w:name="z5137" w:id="1748"/>
    <w:p>
      <w:pPr>
        <w:spacing w:after="0"/>
        <w:ind w:left="0"/>
        <w:jc w:val="both"/>
      </w:pPr>
      <w:r>
        <w:rPr>
          <w:rFonts w:ascii="Times New Roman"/>
          <w:b w:val="false"/>
          <w:i w:val="false"/>
          <w:color w:val="000000"/>
          <w:sz w:val="28"/>
        </w:rPr>
        <w:t>
      2) обеспечивает полноту отражения информации о подозрительных операциях с признаками мошенничества и мошенничестве в базе данных инцидентов и непрерывную передачу данных в антифрод-центр НБРК в круглосуточном режиме;</w:t>
      </w:r>
    </w:p>
    <w:bookmarkEnd w:id="1748"/>
    <w:bookmarkStart w:name="z5138" w:id="1749"/>
    <w:p>
      <w:pPr>
        <w:spacing w:after="0"/>
        <w:ind w:left="0"/>
        <w:jc w:val="both"/>
      </w:pPr>
      <w:r>
        <w:rPr>
          <w:rFonts w:ascii="Times New Roman"/>
          <w:b w:val="false"/>
          <w:i w:val="false"/>
          <w:color w:val="000000"/>
          <w:sz w:val="28"/>
        </w:rPr>
        <w:t>
      3) использует заданные алгоритмы сценариев, модели и правила для выявления подозрительной активности;</w:t>
      </w:r>
    </w:p>
    <w:bookmarkEnd w:id="1749"/>
    <w:bookmarkStart w:name="z5139" w:id="1750"/>
    <w:p>
      <w:pPr>
        <w:spacing w:after="0"/>
        <w:ind w:left="0"/>
        <w:jc w:val="both"/>
      </w:pPr>
      <w:r>
        <w:rPr>
          <w:rFonts w:ascii="Times New Roman"/>
          <w:b w:val="false"/>
          <w:i w:val="false"/>
          <w:color w:val="000000"/>
          <w:sz w:val="28"/>
        </w:rPr>
        <w:t>
      4) обеспечивает: ведение внутреннего списка лиц, осуществляющих подозрительные операции с признаками мошенничества;</w:t>
      </w:r>
    </w:p>
    <w:bookmarkEnd w:id="1750"/>
    <w:bookmarkStart w:name="z5140" w:id="1751"/>
    <w:p>
      <w:pPr>
        <w:spacing w:after="0"/>
        <w:ind w:left="0"/>
        <w:jc w:val="both"/>
      </w:pPr>
      <w:r>
        <w:rPr>
          <w:rFonts w:ascii="Times New Roman"/>
          <w:b w:val="false"/>
          <w:i w:val="false"/>
          <w:color w:val="000000"/>
          <w:sz w:val="28"/>
        </w:rPr>
        <w:t>
      автоматическую сверку с внутренними списками банка, включая списки антифрод-центра НБРК для всех транзакций;</w:t>
      </w:r>
    </w:p>
    <w:bookmarkEnd w:id="1751"/>
    <w:bookmarkStart w:name="z5141" w:id="1752"/>
    <w:p>
      <w:pPr>
        <w:spacing w:after="0"/>
        <w:ind w:left="0"/>
        <w:jc w:val="both"/>
      </w:pPr>
      <w:r>
        <w:rPr>
          <w:rFonts w:ascii="Times New Roman"/>
          <w:b w:val="false"/>
          <w:i w:val="false"/>
          <w:color w:val="000000"/>
          <w:sz w:val="28"/>
        </w:rPr>
        <w:t>
      при наличии распоряжения заемщика о перечислении займа на счет третьего лица автоматическое подтверждение через антифрод-центр НБРК со стороны банка-получателя об отсутствии бенефициара платежа во внутренних списках банка-получателя по лицам, осуществляющим подозрительные операции с признаками мошенничества;</w:t>
      </w:r>
    </w:p>
    <w:bookmarkEnd w:id="1752"/>
    <w:bookmarkStart w:name="z5142" w:id="1753"/>
    <w:p>
      <w:pPr>
        <w:spacing w:after="0"/>
        <w:ind w:left="0"/>
        <w:jc w:val="both"/>
      </w:pPr>
      <w:r>
        <w:rPr>
          <w:rFonts w:ascii="Times New Roman"/>
          <w:b w:val="false"/>
          <w:i w:val="false"/>
          <w:color w:val="000000"/>
          <w:sz w:val="28"/>
        </w:rPr>
        <w:t>
      5) предусмотрена возможность приостановить и (или) отклонить транзакцию;</w:t>
      </w:r>
    </w:p>
    <w:bookmarkEnd w:id="1753"/>
    <w:bookmarkStart w:name="z5143" w:id="1754"/>
    <w:p>
      <w:pPr>
        <w:spacing w:after="0"/>
        <w:ind w:left="0"/>
        <w:jc w:val="both"/>
      </w:pPr>
      <w:r>
        <w:rPr>
          <w:rFonts w:ascii="Times New Roman"/>
          <w:b w:val="false"/>
          <w:i w:val="false"/>
          <w:color w:val="000000"/>
          <w:sz w:val="28"/>
        </w:rPr>
        <w:t xml:space="preserve">
      6) обеспечивает хранение и безопасность данных, безопасность информационного обмена данными о мошенничестве в соответствии с </w:t>
      </w:r>
      <w:r>
        <w:rPr>
          <w:rFonts w:ascii="Times New Roman"/>
          <w:b w:val="false"/>
          <w:i w:val="false"/>
          <w:color w:val="000000"/>
          <w:sz w:val="28"/>
        </w:rPr>
        <w:t>постановлением № 48</w:t>
      </w:r>
      <w:r>
        <w:rPr>
          <w:rFonts w:ascii="Times New Roman"/>
          <w:b w:val="false"/>
          <w:i w:val="false"/>
          <w:color w:val="000000"/>
          <w:sz w:val="28"/>
        </w:rPr>
        <w:t>;</w:t>
      </w:r>
    </w:p>
    <w:bookmarkEnd w:id="1754"/>
    <w:bookmarkStart w:name="z5144" w:id="1755"/>
    <w:p>
      <w:pPr>
        <w:spacing w:after="0"/>
        <w:ind w:left="0"/>
        <w:jc w:val="both"/>
      </w:pPr>
      <w:r>
        <w:rPr>
          <w:rFonts w:ascii="Times New Roman"/>
          <w:b w:val="false"/>
          <w:i w:val="false"/>
          <w:color w:val="000000"/>
          <w:sz w:val="28"/>
        </w:rPr>
        <w:t>
      7) обеспечивает анализ и настройку параметров для выявления подозрительных операций с признаками мошенничества, тестирование и внесение изменений в антифрод-систему банка.</w:t>
      </w:r>
    </w:p>
    <w:bookmarkEnd w:id="1755"/>
    <w:bookmarkStart w:name="z5145" w:id="1756"/>
    <w:p>
      <w:pPr>
        <w:spacing w:after="0"/>
        <w:ind w:left="0"/>
        <w:jc w:val="both"/>
      </w:pPr>
      <w:r>
        <w:rPr>
          <w:rFonts w:ascii="Times New Roman"/>
          <w:b w:val="false"/>
          <w:i w:val="false"/>
          <w:color w:val="000000"/>
          <w:sz w:val="28"/>
        </w:rPr>
        <w:t>
      125. Политика и процедуры управления рисками мошенничества, включают, но не ограничиваются, следующим:</w:t>
      </w:r>
    </w:p>
    <w:bookmarkEnd w:id="1756"/>
    <w:bookmarkStart w:name="z5146" w:id="1757"/>
    <w:p>
      <w:pPr>
        <w:spacing w:after="0"/>
        <w:ind w:left="0"/>
        <w:jc w:val="both"/>
      </w:pPr>
      <w:r>
        <w:rPr>
          <w:rFonts w:ascii="Times New Roman"/>
          <w:b w:val="false"/>
          <w:i w:val="false"/>
          <w:color w:val="000000"/>
          <w:sz w:val="28"/>
        </w:rPr>
        <w:t>
      1) оценку риска мошенничества, связанного с сотрудниками, клиентами и третьими лицами, которые позволяют предотвратить установление отношений, не отвечающих требованиям;</w:t>
      </w:r>
    </w:p>
    <w:bookmarkEnd w:id="1757"/>
    <w:bookmarkStart w:name="z5147" w:id="1758"/>
    <w:p>
      <w:pPr>
        <w:spacing w:after="0"/>
        <w:ind w:left="0"/>
        <w:jc w:val="both"/>
      </w:pPr>
      <w:r>
        <w:rPr>
          <w:rFonts w:ascii="Times New Roman"/>
          <w:b w:val="false"/>
          <w:i w:val="false"/>
          <w:color w:val="000000"/>
          <w:sz w:val="28"/>
        </w:rPr>
        <w:t>
      2) перечень операций, подлежащих рассмотрению;</w:t>
      </w:r>
    </w:p>
    <w:bookmarkEnd w:id="1758"/>
    <w:bookmarkStart w:name="z5148" w:id="1759"/>
    <w:p>
      <w:pPr>
        <w:spacing w:after="0"/>
        <w:ind w:left="0"/>
        <w:jc w:val="both"/>
      </w:pPr>
      <w:r>
        <w:rPr>
          <w:rFonts w:ascii="Times New Roman"/>
          <w:b w:val="false"/>
          <w:i w:val="false"/>
          <w:color w:val="000000"/>
          <w:sz w:val="28"/>
        </w:rPr>
        <w:t>
      3) критерии подозрительных операций с признаками мошенничества и мошенничества, устанавливаемые в том числе уполномоченным органом;</w:t>
      </w:r>
    </w:p>
    <w:bookmarkEnd w:id="1759"/>
    <w:bookmarkStart w:name="z5149" w:id="1760"/>
    <w:p>
      <w:pPr>
        <w:spacing w:after="0"/>
        <w:ind w:left="0"/>
        <w:jc w:val="both"/>
      </w:pPr>
      <w:r>
        <w:rPr>
          <w:rFonts w:ascii="Times New Roman"/>
          <w:b w:val="false"/>
          <w:i w:val="false"/>
          <w:color w:val="000000"/>
          <w:sz w:val="28"/>
        </w:rPr>
        <w:t>
      4) порядок приостановления предоставления электронных банковских услуг дропперам сроком не менее одного календарного года, включая мобильное приложение и онлайн-банкинг, критерии возобновления предоставления электронных банковских услуг, а также информирование в порядке, установленном договором;</w:t>
      </w:r>
    </w:p>
    <w:bookmarkEnd w:id="1760"/>
    <w:bookmarkStart w:name="z5150" w:id="1761"/>
    <w:p>
      <w:pPr>
        <w:spacing w:after="0"/>
        <w:ind w:left="0"/>
        <w:jc w:val="both"/>
      </w:pPr>
      <w:r>
        <w:rPr>
          <w:rFonts w:ascii="Times New Roman"/>
          <w:b w:val="false"/>
          <w:i w:val="false"/>
          <w:color w:val="000000"/>
          <w:sz w:val="28"/>
        </w:rPr>
        <w:t>
      5) критерии включения и исключения в список лиц, осуществляющих подозрительные операции с признаками мошенничества и список мошенников;</w:t>
      </w:r>
    </w:p>
    <w:bookmarkEnd w:id="1761"/>
    <w:bookmarkStart w:name="z5151" w:id="1762"/>
    <w:p>
      <w:pPr>
        <w:spacing w:after="0"/>
        <w:ind w:left="0"/>
        <w:jc w:val="both"/>
      </w:pPr>
      <w:r>
        <w:rPr>
          <w:rFonts w:ascii="Times New Roman"/>
          <w:b w:val="false"/>
          <w:i w:val="false"/>
          <w:color w:val="000000"/>
          <w:sz w:val="28"/>
        </w:rPr>
        <w:t>
      6) способы, методы и модели оценки рисков мошенничества отвечают следующим требованиям:</w:t>
      </w:r>
    </w:p>
    <w:bookmarkEnd w:id="1762"/>
    <w:bookmarkStart w:name="z5152" w:id="1763"/>
    <w:p>
      <w:pPr>
        <w:spacing w:after="0"/>
        <w:ind w:left="0"/>
        <w:jc w:val="both"/>
      </w:pPr>
      <w:r>
        <w:rPr>
          <w:rFonts w:ascii="Times New Roman"/>
          <w:b w:val="false"/>
          <w:i w:val="false"/>
          <w:color w:val="000000"/>
          <w:sz w:val="28"/>
        </w:rPr>
        <w:t>
      качественные и количественные методы оценки;</w:t>
      </w:r>
    </w:p>
    <w:bookmarkEnd w:id="1763"/>
    <w:bookmarkStart w:name="z5153" w:id="1764"/>
    <w:p>
      <w:pPr>
        <w:spacing w:after="0"/>
        <w:ind w:left="0"/>
        <w:jc w:val="both"/>
      </w:pPr>
      <w:r>
        <w:rPr>
          <w:rFonts w:ascii="Times New Roman"/>
          <w:b w:val="false"/>
          <w:i w:val="false"/>
          <w:color w:val="000000"/>
          <w:sz w:val="28"/>
        </w:rPr>
        <w:t>
      способы, методы и модели должны быть адаптированы к новым методам мошенничества и уровню сложности операций банка, а также изменениям в процессах банка и в законодательстве;</w:t>
      </w:r>
    </w:p>
    <w:bookmarkEnd w:id="1764"/>
    <w:bookmarkStart w:name="z5154" w:id="1765"/>
    <w:p>
      <w:pPr>
        <w:spacing w:after="0"/>
        <w:ind w:left="0"/>
        <w:jc w:val="both"/>
      </w:pPr>
      <w:r>
        <w:rPr>
          <w:rFonts w:ascii="Times New Roman"/>
          <w:b w:val="false"/>
          <w:i w:val="false"/>
          <w:color w:val="000000"/>
          <w:sz w:val="28"/>
        </w:rPr>
        <w:t>
      системы обнаружения мошенничества для выявления аномалий в транзакционных и нетранзакционных данных, а также поведения клиентов и сотрудников, которые могут свидетельствовать о подозрительных операциях и мошенничестве обеспечивают проверку в автоматическом режиме;</w:t>
      </w:r>
    </w:p>
    <w:bookmarkEnd w:id="1765"/>
    <w:bookmarkStart w:name="z5155" w:id="1766"/>
    <w:p>
      <w:pPr>
        <w:spacing w:after="0"/>
        <w:ind w:left="0"/>
        <w:jc w:val="both"/>
      </w:pPr>
      <w:r>
        <w:rPr>
          <w:rFonts w:ascii="Times New Roman"/>
          <w:b w:val="false"/>
          <w:i w:val="false"/>
          <w:color w:val="000000"/>
          <w:sz w:val="28"/>
        </w:rPr>
        <w:t>
      7) порядок взаимодействия подразделений банка и передача данных в соответствии с правилами антифрод-центра НБРК;</w:t>
      </w:r>
    </w:p>
    <w:bookmarkEnd w:id="1766"/>
    <w:bookmarkStart w:name="z5156" w:id="1767"/>
    <w:p>
      <w:pPr>
        <w:spacing w:after="0"/>
        <w:ind w:left="0"/>
        <w:jc w:val="both"/>
      </w:pPr>
      <w:r>
        <w:rPr>
          <w:rFonts w:ascii="Times New Roman"/>
          <w:b w:val="false"/>
          <w:i w:val="false"/>
          <w:color w:val="000000"/>
          <w:sz w:val="28"/>
        </w:rPr>
        <w:t>
      8) порядок проведения периодического обучения и аттестации работников по вопросам противодействия мошенничеству;</w:t>
      </w:r>
    </w:p>
    <w:bookmarkEnd w:id="1767"/>
    <w:bookmarkStart w:name="z5157" w:id="1768"/>
    <w:p>
      <w:pPr>
        <w:spacing w:after="0"/>
        <w:ind w:left="0"/>
        <w:jc w:val="both"/>
      </w:pPr>
      <w:r>
        <w:rPr>
          <w:rFonts w:ascii="Times New Roman"/>
          <w:b w:val="false"/>
          <w:i w:val="false"/>
          <w:color w:val="000000"/>
          <w:sz w:val="28"/>
        </w:rPr>
        <w:t>
      9) порядок аутентификации, который включает, но не ограничиваясь:</w:t>
      </w:r>
    </w:p>
    <w:bookmarkEnd w:id="1768"/>
    <w:bookmarkStart w:name="z5158" w:id="1769"/>
    <w:p>
      <w:pPr>
        <w:spacing w:after="0"/>
        <w:ind w:left="0"/>
        <w:jc w:val="both"/>
      </w:pPr>
      <w:r>
        <w:rPr>
          <w:rFonts w:ascii="Times New Roman"/>
          <w:b w:val="false"/>
          <w:i w:val="false"/>
          <w:color w:val="000000"/>
          <w:sz w:val="28"/>
        </w:rPr>
        <w:t>
      проверку подлинности учетных данных клиентов, работников и третьих лиц;</w:t>
      </w:r>
    </w:p>
    <w:bookmarkEnd w:id="1769"/>
    <w:bookmarkStart w:name="z5159" w:id="1770"/>
    <w:p>
      <w:pPr>
        <w:spacing w:after="0"/>
        <w:ind w:left="0"/>
        <w:jc w:val="both"/>
      </w:pPr>
      <w:r>
        <w:rPr>
          <w:rFonts w:ascii="Times New Roman"/>
          <w:b w:val="false"/>
          <w:i w:val="false"/>
          <w:color w:val="000000"/>
          <w:sz w:val="28"/>
        </w:rPr>
        <w:t>
      инструкции по обеспечению защиты информационного актива и предотвращению несанкционированного доступа или действий;</w:t>
      </w:r>
    </w:p>
    <w:bookmarkEnd w:id="1770"/>
    <w:bookmarkStart w:name="z5160" w:id="1771"/>
    <w:p>
      <w:pPr>
        <w:spacing w:after="0"/>
        <w:ind w:left="0"/>
        <w:jc w:val="both"/>
      </w:pPr>
      <w:r>
        <w:rPr>
          <w:rFonts w:ascii="Times New Roman"/>
          <w:b w:val="false"/>
          <w:i w:val="false"/>
          <w:color w:val="000000"/>
          <w:sz w:val="28"/>
        </w:rPr>
        <w:t>
      10) порядок предотвращения, учитывающий как внутренние, так и внешние риски мошенничества, влияющие на банк;</w:t>
      </w:r>
    </w:p>
    <w:bookmarkEnd w:id="1771"/>
    <w:bookmarkStart w:name="z5161" w:id="1772"/>
    <w:p>
      <w:pPr>
        <w:spacing w:after="0"/>
        <w:ind w:left="0"/>
        <w:jc w:val="both"/>
      </w:pPr>
      <w:r>
        <w:rPr>
          <w:rFonts w:ascii="Times New Roman"/>
          <w:b w:val="false"/>
          <w:i w:val="false"/>
          <w:color w:val="000000"/>
          <w:sz w:val="28"/>
        </w:rPr>
        <w:t>
      11) порядок обнаружения, который включает, но не ограничиваясь:</w:t>
      </w:r>
    </w:p>
    <w:bookmarkEnd w:id="1772"/>
    <w:bookmarkStart w:name="z5162" w:id="1773"/>
    <w:p>
      <w:pPr>
        <w:spacing w:after="0"/>
        <w:ind w:left="0"/>
        <w:jc w:val="both"/>
      </w:pPr>
      <w:r>
        <w:rPr>
          <w:rFonts w:ascii="Times New Roman"/>
          <w:b w:val="false"/>
          <w:i w:val="false"/>
          <w:color w:val="000000"/>
          <w:sz w:val="28"/>
        </w:rPr>
        <w:t>
      источники данных, используемые для выявления подозрительных действий клиента и подозрительных операций с признаками мошенничества;</w:t>
      </w:r>
    </w:p>
    <w:bookmarkEnd w:id="1773"/>
    <w:bookmarkStart w:name="z5163" w:id="1774"/>
    <w:p>
      <w:pPr>
        <w:spacing w:after="0"/>
        <w:ind w:left="0"/>
        <w:jc w:val="both"/>
      </w:pPr>
      <w:r>
        <w:rPr>
          <w:rFonts w:ascii="Times New Roman"/>
          <w:b w:val="false"/>
          <w:i w:val="false"/>
          <w:color w:val="000000"/>
          <w:sz w:val="28"/>
        </w:rPr>
        <w:t>
      системы и технологии контроля, внедренные для выявления подозрительных операций с признаками мошенничества, оповещения о важных событиях или транзакциях, в том числе руководящих работников, подразделений банка;</w:t>
      </w:r>
    </w:p>
    <w:bookmarkEnd w:id="1774"/>
    <w:bookmarkStart w:name="z5164" w:id="1775"/>
    <w:p>
      <w:pPr>
        <w:spacing w:after="0"/>
        <w:ind w:left="0"/>
        <w:jc w:val="both"/>
      </w:pPr>
      <w:r>
        <w:rPr>
          <w:rFonts w:ascii="Times New Roman"/>
          <w:b w:val="false"/>
          <w:i w:val="false"/>
          <w:color w:val="000000"/>
          <w:sz w:val="28"/>
        </w:rPr>
        <w:t>
      роли и обязанности подразделений и работников при обнаружении подозрительных операций с признаками мошенничества;</w:t>
      </w:r>
    </w:p>
    <w:bookmarkEnd w:id="1775"/>
    <w:bookmarkStart w:name="z5165" w:id="1776"/>
    <w:p>
      <w:pPr>
        <w:spacing w:after="0"/>
        <w:ind w:left="0"/>
        <w:jc w:val="both"/>
      </w:pPr>
      <w:r>
        <w:rPr>
          <w:rFonts w:ascii="Times New Roman"/>
          <w:b w:val="false"/>
          <w:i w:val="false"/>
          <w:color w:val="000000"/>
          <w:sz w:val="28"/>
        </w:rPr>
        <w:t>
      12) план реагирования на фактический или предполагаемый инцидент с мошенничеством, который включает, но не ограничиваясь:</w:t>
      </w:r>
    </w:p>
    <w:bookmarkEnd w:id="1776"/>
    <w:bookmarkStart w:name="z5166" w:id="1777"/>
    <w:p>
      <w:pPr>
        <w:spacing w:after="0"/>
        <w:ind w:left="0"/>
        <w:jc w:val="both"/>
      </w:pPr>
      <w:r>
        <w:rPr>
          <w:rFonts w:ascii="Times New Roman"/>
          <w:b w:val="false"/>
          <w:i w:val="false"/>
          <w:color w:val="000000"/>
          <w:sz w:val="28"/>
        </w:rPr>
        <w:t>
      режим работы сотрудников, обеспечивающий непрерывность реагирования;</w:t>
      </w:r>
    </w:p>
    <w:bookmarkEnd w:id="1777"/>
    <w:bookmarkStart w:name="z5167" w:id="1778"/>
    <w:p>
      <w:pPr>
        <w:spacing w:after="0"/>
        <w:ind w:left="0"/>
        <w:jc w:val="both"/>
      </w:pPr>
      <w:r>
        <w:rPr>
          <w:rFonts w:ascii="Times New Roman"/>
          <w:b w:val="false"/>
          <w:i w:val="false"/>
          <w:color w:val="000000"/>
          <w:sz w:val="28"/>
        </w:rPr>
        <w:t>
      перечень случаев приостановления и возобновления или отклонения транзакции;</w:t>
      </w:r>
    </w:p>
    <w:bookmarkEnd w:id="1778"/>
    <w:bookmarkStart w:name="z5168" w:id="1779"/>
    <w:p>
      <w:pPr>
        <w:spacing w:after="0"/>
        <w:ind w:left="0"/>
        <w:jc w:val="both"/>
      </w:pPr>
      <w:r>
        <w:rPr>
          <w:rFonts w:ascii="Times New Roman"/>
          <w:b w:val="false"/>
          <w:i w:val="false"/>
          <w:color w:val="000000"/>
          <w:sz w:val="28"/>
        </w:rPr>
        <w:t>
      принятие решения о необходимости проведения внутреннего расследования;</w:t>
      </w:r>
    </w:p>
    <w:bookmarkEnd w:id="1779"/>
    <w:bookmarkStart w:name="z5169" w:id="1780"/>
    <w:p>
      <w:pPr>
        <w:spacing w:after="0"/>
        <w:ind w:left="0"/>
        <w:jc w:val="both"/>
      </w:pPr>
      <w:r>
        <w:rPr>
          <w:rFonts w:ascii="Times New Roman"/>
          <w:b w:val="false"/>
          <w:i w:val="false"/>
          <w:color w:val="000000"/>
          <w:sz w:val="28"/>
        </w:rPr>
        <w:t>
      13) порядок расследования, который включает, но не ограничивается:</w:t>
      </w:r>
    </w:p>
    <w:bookmarkEnd w:id="1780"/>
    <w:bookmarkStart w:name="z5170" w:id="1781"/>
    <w:p>
      <w:pPr>
        <w:spacing w:after="0"/>
        <w:ind w:left="0"/>
        <w:jc w:val="both"/>
      </w:pPr>
      <w:r>
        <w:rPr>
          <w:rFonts w:ascii="Times New Roman"/>
          <w:b w:val="false"/>
          <w:i w:val="false"/>
          <w:color w:val="000000"/>
          <w:sz w:val="28"/>
        </w:rPr>
        <w:t>
      порядок взаимодействия подразделений банка;</w:t>
      </w:r>
    </w:p>
    <w:bookmarkEnd w:id="1781"/>
    <w:bookmarkStart w:name="z5171" w:id="1782"/>
    <w:p>
      <w:pPr>
        <w:spacing w:after="0"/>
        <w:ind w:left="0"/>
        <w:jc w:val="both"/>
      </w:pPr>
      <w:r>
        <w:rPr>
          <w:rFonts w:ascii="Times New Roman"/>
          <w:b w:val="false"/>
          <w:i w:val="false"/>
          <w:color w:val="000000"/>
          <w:sz w:val="28"/>
        </w:rPr>
        <w:t>
      оценка срочности, существенности, сбор и анализ информации;</w:t>
      </w:r>
    </w:p>
    <w:bookmarkEnd w:id="1782"/>
    <w:bookmarkStart w:name="z5172" w:id="1783"/>
    <w:p>
      <w:pPr>
        <w:spacing w:after="0"/>
        <w:ind w:left="0"/>
        <w:jc w:val="both"/>
      </w:pPr>
      <w:r>
        <w:rPr>
          <w:rFonts w:ascii="Times New Roman"/>
          <w:b w:val="false"/>
          <w:i w:val="false"/>
          <w:color w:val="000000"/>
          <w:sz w:val="28"/>
        </w:rPr>
        <w:t>
      документирование предпринятых следственных действий;</w:t>
      </w:r>
    </w:p>
    <w:bookmarkEnd w:id="1783"/>
    <w:bookmarkStart w:name="z5173" w:id="1784"/>
    <w:p>
      <w:pPr>
        <w:spacing w:after="0"/>
        <w:ind w:left="0"/>
        <w:jc w:val="both"/>
      </w:pPr>
      <w:r>
        <w:rPr>
          <w:rFonts w:ascii="Times New Roman"/>
          <w:b w:val="false"/>
          <w:i w:val="false"/>
          <w:color w:val="000000"/>
          <w:sz w:val="28"/>
        </w:rPr>
        <w:t>
      оценка факта мошенничества и дата завершения расследования;</w:t>
      </w:r>
    </w:p>
    <w:bookmarkEnd w:id="1784"/>
    <w:bookmarkStart w:name="z5174" w:id="1785"/>
    <w:p>
      <w:pPr>
        <w:spacing w:after="0"/>
        <w:ind w:left="0"/>
        <w:jc w:val="both"/>
      </w:pPr>
      <w:r>
        <w:rPr>
          <w:rFonts w:ascii="Times New Roman"/>
          <w:b w:val="false"/>
          <w:i w:val="false"/>
          <w:color w:val="000000"/>
          <w:sz w:val="28"/>
        </w:rPr>
        <w:t>
      принятые меры, в том числе по возмещению ущерба клиенту, если применимо;</w:t>
      </w:r>
    </w:p>
    <w:bookmarkEnd w:id="1785"/>
    <w:bookmarkStart w:name="z5175" w:id="1786"/>
    <w:p>
      <w:pPr>
        <w:spacing w:after="0"/>
        <w:ind w:left="0"/>
        <w:jc w:val="both"/>
      </w:pPr>
      <w:r>
        <w:rPr>
          <w:rFonts w:ascii="Times New Roman"/>
          <w:b w:val="false"/>
          <w:i w:val="false"/>
          <w:color w:val="000000"/>
          <w:sz w:val="28"/>
        </w:rPr>
        <w:t>
      14) оценку эффективности системы управления рисками мошенничества, в том числе службой внутреннего аудита банка.</w:t>
      </w:r>
    </w:p>
    <w:bookmarkEnd w:id="1786"/>
    <w:bookmarkStart w:name="z5176" w:id="1787"/>
    <w:p>
      <w:pPr>
        <w:spacing w:after="0"/>
        <w:ind w:left="0"/>
        <w:jc w:val="both"/>
      </w:pPr>
      <w:r>
        <w:rPr>
          <w:rFonts w:ascii="Times New Roman"/>
          <w:b w:val="false"/>
          <w:i w:val="false"/>
          <w:color w:val="000000"/>
          <w:sz w:val="28"/>
        </w:rPr>
        <w:t>
      126. Управленческая информация содержит, но не ограничивается, следующим:</w:t>
      </w:r>
    </w:p>
    <w:bookmarkEnd w:id="1787"/>
    <w:bookmarkStart w:name="z5177" w:id="1788"/>
    <w:p>
      <w:pPr>
        <w:spacing w:after="0"/>
        <w:ind w:left="0"/>
        <w:jc w:val="both"/>
      </w:pPr>
      <w:r>
        <w:rPr>
          <w:rFonts w:ascii="Times New Roman"/>
          <w:b w:val="false"/>
          <w:i w:val="false"/>
          <w:color w:val="000000"/>
          <w:sz w:val="28"/>
        </w:rPr>
        <w:t>
      1) результаты оценки рисков мошенничества, показатели склонности к рискам мошенничества и соответствие пороговым значениям и лимитам;</w:t>
      </w:r>
    </w:p>
    <w:bookmarkEnd w:id="1788"/>
    <w:bookmarkStart w:name="z5178" w:id="1789"/>
    <w:p>
      <w:pPr>
        <w:spacing w:after="0"/>
        <w:ind w:left="0"/>
        <w:jc w:val="both"/>
      </w:pPr>
      <w:r>
        <w:rPr>
          <w:rFonts w:ascii="Times New Roman"/>
          <w:b w:val="false"/>
          <w:i w:val="false"/>
          <w:color w:val="000000"/>
          <w:sz w:val="28"/>
        </w:rPr>
        <w:t>
      2) количественный и качественных анализ подозрительных операций с признаками мошенничества в разрезе продуктов банка и типа платежа (если применимо) с указанием типологии мошенничества;</w:t>
      </w:r>
    </w:p>
    <w:bookmarkEnd w:id="1789"/>
    <w:bookmarkStart w:name="z5179" w:id="1790"/>
    <w:p>
      <w:pPr>
        <w:spacing w:after="0"/>
        <w:ind w:left="0"/>
        <w:jc w:val="both"/>
      </w:pPr>
      <w:r>
        <w:rPr>
          <w:rFonts w:ascii="Times New Roman"/>
          <w:b w:val="false"/>
          <w:i w:val="false"/>
          <w:color w:val="000000"/>
          <w:sz w:val="28"/>
        </w:rPr>
        <w:t>
      3) принятые меры по фактам мошенничества;</w:t>
      </w:r>
    </w:p>
    <w:bookmarkEnd w:id="1790"/>
    <w:bookmarkStart w:name="z5180" w:id="1791"/>
    <w:p>
      <w:pPr>
        <w:spacing w:after="0"/>
        <w:ind w:left="0"/>
        <w:jc w:val="both"/>
      </w:pPr>
      <w:r>
        <w:rPr>
          <w:rFonts w:ascii="Times New Roman"/>
          <w:b w:val="false"/>
          <w:i w:val="false"/>
          <w:color w:val="000000"/>
          <w:sz w:val="28"/>
        </w:rPr>
        <w:t>
      4) операционные убытки банка, связанные с внутренним и внешним мошенничеством и размер возмещения убытков потребителям;</w:t>
      </w:r>
    </w:p>
    <w:bookmarkEnd w:id="1791"/>
    <w:bookmarkStart w:name="z5181" w:id="1792"/>
    <w:p>
      <w:pPr>
        <w:spacing w:after="0"/>
        <w:ind w:left="0"/>
        <w:jc w:val="both"/>
      </w:pPr>
      <w:r>
        <w:rPr>
          <w:rFonts w:ascii="Times New Roman"/>
          <w:b w:val="false"/>
          <w:i w:val="false"/>
          <w:color w:val="000000"/>
          <w:sz w:val="28"/>
        </w:rPr>
        <w:t>
      5) объем обращений о мошенничестве в разрезе продуктов банка и типа платежа (если применимо).</w:t>
      </w:r>
    </w:p>
    <w:bookmarkEnd w:id="17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главой 16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системы</w:t>
            </w:r>
            <w:r>
              <w:br/>
            </w:r>
            <w:r>
              <w:rPr>
                <w:rFonts w:ascii="Times New Roman"/>
                <w:b w:val="false"/>
                <w:i w:val="false"/>
                <w:color w:val="000000"/>
                <w:sz w:val="20"/>
              </w:rPr>
              <w:t>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банков второго уровня,</w:t>
            </w:r>
            <w:r>
              <w:br/>
            </w:r>
            <w:r>
              <w:rPr>
                <w:rFonts w:ascii="Times New Roman"/>
                <w:b w:val="false"/>
                <w:i w:val="false"/>
                <w:color w:val="000000"/>
                <w:sz w:val="20"/>
              </w:rPr>
              <w:t>филиалов банков-нерезидентов</w:t>
            </w:r>
            <w:r>
              <w:br/>
            </w:r>
            <w:r>
              <w:rPr>
                <w:rFonts w:ascii="Times New Roman"/>
                <w:b w:val="false"/>
                <w:i w:val="false"/>
                <w:color w:val="000000"/>
                <w:sz w:val="20"/>
              </w:rPr>
              <w:t>Республики Казахстан</w:t>
            </w:r>
          </w:p>
        </w:tc>
      </w:tr>
    </w:tbl>
    <w:bookmarkStart w:name="z2812" w:id="1793"/>
    <w:p>
      <w:pPr>
        <w:spacing w:after="0"/>
        <w:ind w:left="0"/>
        <w:jc w:val="left"/>
      </w:pPr>
      <w:r>
        <w:rPr>
          <w:rFonts w:ascii="Times New Roman"/>
          <w:b/>
          <w:i w:val="false"/>
          <w:color w:val="000000"/>
        </w:rPr>
        <w:t xml:space="preserve"> Структура отчета по соблюдению внутреннего процесса оценки достаточности капитала и внутреннего процесса оценки достаточности ликвидности</w:t>
      </w:r>
    </w:p>
    <w:bookmarkEnd w:id="1793"/>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Правления Агентства РК по регулированию и развитию финансового рынка от 29.12.2022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13" w:id="1794"/>
    <w:p>
      <w:pPr>
        <w:spacing w:after="0"/>
        <w:ind w:left="0"/>
        <w:jc w:val="left"/>
      </w:pPr>
      <w:r>
        <w:rPr>
          <w:rFonts w:ascii="Times New Roman"/>
          <w:b/>
          <w:i w:val="false"/>
          <w:color w:val="000000"/>
        </w:rPr>
        <w:t xml:space="preserve"> Глава 1. Общие основания внутреннего процесса оценки достаточности капитала и внутреннего процесса оценки достаточности ликвидности</w:t>
      </w:r>
    </w:p>
    <w:bookmarkEnd w:id="1794"/>
    <w:bookmarkStart w:name="z2814" w:id="1795"/>
    <w:p>
      <w:pPr>
        <w:spacing w:after="0"/>
        <w:ind w:left="0"/>
        <w:jc w:val="both"/>
      </w:pPr>
      <w:r>
        <w:rPr>
          <w:rFonts w:ascii="Times New Roman"/>
          <w:b w:val="false"/>
          <w:i w:val="false"/>
          <w:color w:val="000000"/>
          <w:sz w:val="28"/>
        </w:rPr>
        <w:t>
      1. Общие основания внутреннего процесса оценки достаточности капитала и внутреннего процесса оценки достаточности ликвидности включают, но не ограничиваясь, следующие разделы:</w:t>
      </w:r>
    </w:p>
    <w:bookmarkEnd w:id="1795"/>
    <w:bookmarkStart w:name="z5183" w:id="1796"/>
    <w:p>
      <w:pPr>
        <w:spacing w:after="0"/>
        <w:ind w:left="0"/>
        <w:jc w:val="both"/>
      </w:pPr>
      <w:r>
        <w:rPr>
          <w:rFonts w:ascii="Times New Roman"/>
          <w:b w:val="false"/>
          <w:i w:val="false"/>
          <w:color w:val="000000"/>
          <w:sz w:val="28"/>
        </w:rPr>
        <w:t>
      1) общая система внутреннего процесса оценки достаточности капитала (далее - ВПОДК) и внутреннего процесса оценки достаточности ликвидности (далее - ВПОДЛ);</w:t>
      </w:r>
    </w:p>
    <w:bookmarkEnd w:id="1796"/>
    <w:bookmarkStart w:name="z5184" w:id="1797"/>
    <w:p>
      <w:pPr>
        <w:spacing w:after="0"/>
        <w:ind w:left="0"/>
        <w:jc w:val="both"/>
      </w:pPr>
      <w:r>
        <w:rPr>
          <w:rFonts w:ascii="Times New Roman"/>
          <w:b w:val="false"/>
          <w:i w:val="false"/>
          <w:color w:val="000000"/>
          <w:sz w:val="28"/>
        </w:rPr>
        <w:t>
      2) информация о структуре риск-аппетита;</w:t>
      </w:r>
    </w:p>
    <w:bookmarkEnd w:id="1797"/>
    <w:bookmarkStart w:name="z5185" w:id="1798"/>
    <w:p>
      <w:pPr>
        <w:spacing w:after="0"/>
        <w:ind w:left="0"/>
        <w:jc w:val="both"/>
      </w:pPr>
      <w:r>
        <w:rPr>
          <w:rFonts w:ascii="Times New Roman"/>
          <w:b w:val="false"/>
          <w:i w:val="false"/>
          <w:color w:val="000000"/>
          <w:sz w:val="28"/>
        </w:rPr>
        <w:t>
      3) информация о стресс-тестировании;</w:t>
      </w:r>
    </w:p>
    <w:bookmarkEnd w:id="1798"/>
    <w:bookmarkStart w:name="z5186" w:id="1799"/>
    <w:p>
      <w:pPr>
        <w:spacing w:after="0"/>
        <w:ind w:left="0"/>
        <w:jc w:val="both"/>
      </w:pPr>
      <w:r>
        <w:rPr>
          <w:rFonts w:ascii="Times New Roman"/>
          <w:b w:val="false"/>
          <w:i w:val="false"/>
          <w:color w:val="000000"/>
          <w:sz w:val="28"/>
        </w:rPr>
        <w:t>
      4) информационные системы.</w:t>
      </w:r>
    </w:p>
    <w:bookmarkEnd w:id="1799"/>
    <w:bookmarkStart w:name="z5187" w:id="1800"/>
    <w:p>
      <w:pPr>
        <w:spacing w:after="0"/>
        <w:ind w:left="0"/>
        <w:jc w:val="both"/>
      </w:pPr>
      <w:r>
        <w:rPr>
          <w:rFonts w:ascii="Times New Roman"/>
          <w:b w:val="false"/>
          <w:i w:val="false"/>
          <w:color w:val="000000"/>
          <w:sz w:val="28"/>
        </w:rPr>
        <w:t>
      2. Раздел "Общая система ВПОДК и ВПОДЛ" включает, но не ограничиваясь, следующие подразделы:</w:t>
      </w:r>
    </w:p>
    <w:bookmarkEnd w:id="1800"/>
    <w:bookmarkStart w:name="z5188" w:id="1801"/>
    <w:p>
      <w:pPr>
        <w:spacing w:after="0"/>
        <w:ind w:left="0"/>
        <w:jc w:val="both"/>
      </w:pPr>
      <w:r>
        <w:rPr>
          <w:rFonts w:ascii="Times New Roman"/>
          <w:b w:val="false"/>
          <w:i w:val="false"/>
          <w:color w:val="000000"/>
          <w:sz w:val="28"/>
        </w:rPr>
        <w:t>
      1) действующая бизнес-модель.</w:t>
      </w:r>
    </w:p>
    <w:bookmarkEnd w:id="1801"/>
    <w:bookmarkStart w:name="z5189" w:id="1802"/>
    <w:p>
      <w:pPr>
        <w:spacing w:after="0"/>
        <w:ind w:left="0"/>
        <w:jc w:val="both"/>
      </w:pPr>
      <w:r>
        <w:rPr>
          <w:rFonts w:ascii="Times New Roman"/>
          <w:b w:val="false"/>
          <w:i w:val="false"/>
          <w:color w:val="000000"/>
          <w:sz w:val="28"/>
        </w:rPr>
        <w:t>
      Информация о действующей бизнес-модели содержит, но не ограничиваясь, следующее описание:</w:t>
      </w:r>
    </w:p>
    <w:bookmarkEnd w:id="1802"/>
    <w:bookmarkStart w:name="z5190" w:id="1803"/>
    <w:p>
      <w:pPr>
        <w:spacing w:after="0"/>
        <w:ind w:left="0"/>
        <w:jc w:val="both"/>
      </w:pPr>
      <w:r>
        <w:rPr>
          <w:rFonts w:ascii="Times New Roman"/>
          <w:b w:val="false"/>
          <w:i w:val="false"/>
          <w:color w:val="000000"/>
          <w:sz w:val="28"/>
        </w:rPr>
        <w:t>
      выбранной бизнес-модели с указанием своих основных направлений деятельности, географических территорий, филиалов и продуктов;</w:t>
      </w:r>
    </w:p>
    <w:bookmarkEnd w:id="1803"/>
    <w:bookmarkStart w:name="z5191" w:id="1804"/>
    <w:p>
      <w:pPr>
        <w:spacing w:after="0"/>
        <w:ind w:left="0"/>
        <w:jc w:val="both"/>
      </w:pPr>
      <w:r>
        <w:rPr>
          <w:rFonts w:ascii="Times New Roman"/>
          <w:b w:val="false"/>
          <w:i w:val="false"/>
          <w:color w:val="000000"/>
          <w:sz w:val="28"/>
        </w:rPr>
        <w:t>
      данных, позволяющих оценить способность банка создавать прибыль, с разбивкой по основным показателям доходности, в том числе коэффициентов, рассчитанных банком (коэффициент рентабельности капитала, коэффициент рентабельности активов);</w:t>
      </w:r>
    </w:p>
    <w:bookmarkEnd w:id="1804"/>
    <w:bookmarkStart w:name="z5192" w:id="1805"/>
    <w:p>
      <w:pPr>
        <w:spacing w:after="0"/>
        <w:ind w:left="0"/>
        <w:jc w:val="both"/>
      </w:pPr>
      <w:r>
        <w:rPr>
          <w:rFonts w:ascii="Times New Roman"/>
          <w:b w:val="false"/>
          <w:i w:val="false"/>
          <w:color w:val="000000"/>
          <w:sz w:val="28"/>
        </w:rPr>
        <w:t>
      данных по динамике достаточности регуляторного капитала;</w:t>
      </w:r>
    </w:p>
    <w:bookmarkEnd w:id="1805"/>
    <w:bookmarkStart w:name="z5193" w:id="1806"/>
    <w:p>
      <w:pPr>
        <w:spacing w:after="0"/>
        <w:ind w:left="0"/>
        <w:jc w:val="both"/>
      </w:pPr>
      <w:r>
        <w:rPr>
          <w:rFonts w:ascii="Times New Roman"/>
          <w:b w:val="false"/>
          <w:i w:val="false"/>
          <w:color w:val="000000"/>
          <w:sz w:val="28"/>
        </w:rPr>
        <w:t>
      данных по динамике активов и пассивов, в том числе структуры фондирования;</w:t>
      </w:r>
    </w:p>
    <w:bookmarkEnd w:id="1806"/>
    <w:bookmarkStart w:name="z5194" w:id="1807"/>
    <w:p>
      <w:pPr>
        <w:spacing w:after="0"/>
        <w:ind w:left="0"/>
        <w:jc w:val="both"/>
      </w:pPr>
      <w:r>
        <w:rPr>
          <w:rFonts w:ascii="Times New Roman"/>
          <w:b w:val="false"/>
          <w:i w:val="false"/>
          <w:color w:val="000000"/>
          <w:sz w:val="28"/>
        </w:rPr>
        <w:t>
      данных о соблюдении минимальных нормативных требований в отношении показателей достаточности капитала и ликвидности;</w:t>
      </w:r>
    </w:p>
    <w:bookmarkEnd w:id="1807"/>
    <w:bookmarkStart w:name="z5195" w:id="1808"/>
    <w:p>
      <w:pPr>
        <w:spacing w:after="0"/>
        <w:ind w:left="0"/>
        <w:jc w:val="both"/>
      </w:pPr>
      <w:r>
        <w:rPr>
          <w:rFonts w:ascii="Times New Roman"/>
          <w:b w:val="false"/>
          <w:i w:val="false"/>
          <w:color w:val="000000"/>
          <w:sz w:val="28"/>
        </w:rPr>
        <w:t>
      2) стратегия и бюджет.</w:t>
      </w:r>
    </w:p>
    <w:bookmarkEnd w:id="1808"/>
    <w:bookmarkStart w:name="z5196" w:id="1809"/>
    <w:p>
      <w:pPr>
        <w:spacing w:after="0"/>
        <w:ind w:left="0"/>
        <w:jc w:val="both"/>
      </w:pPr>
      <w:r>
        <w:rPr>
          <w:rFonts w:ascii="Times New Roman"/>
          <w:b w:val="false"/>
          <w:i w:val="false"/>
          <w:color w:val="000000"/>
          <w:sz w:val="28"/>
        </w:rPr>
        <w:t>
      Информация о стратегии и бюджете содержит, но не ограничиваясь, следующее описание:</w:t>
      </w:r>
    </w:p>
    <w:bookmarkEnd w:id="1809"/>
    <w:bookmarkStart w:name="z5197" w:id="1810"/>
    <w:p>
      <w:pPr>
        <w:spacing w:after="0"/>
        <w:ind w:left="0"/>
        <w:jc w:val="both"/>
      </w:pPr>
      <w:r>
        <w:rPr>
          <w:rFonts w:ascii="Times New Roman"/>
          <w:b w:val="false"/>
          <w:i w:val="false"/>
          <w:color w:val="000000"/>
          <w:sz w:val="28"/>
        </w:rPr>
        <w:t>
      стратегии развития, в том числе целей банка и срока их достижения;</w:t>
      </w:r>
    </w:p>
    <w:bookmarkEnd w:id="1810"/>
    <w:bookmarkStart w:name="z5198" w:id="1811"/>
    <w:p>
      <w:pPr>
        <w:spacing w:after="0"/>
        <w:ind w:left="0"/>
        <w:jc w:val="both"/>
      </w:pPr>
      <w:r>
        <w:rPr>
          <w:rFonts w:ascii="Times New Roman"/>
          <w:b w:val="false"/>
          <w:i w:val="false"/>
          <w:color w:val="000000"/>
          <w:sz w:val="28"/>
        </w:rPr>
        <w:t>
      связей между ВПОДК и ВПОДЛ и стратегией банка;</w:t>
      </w:r>
    </w:p>
    <w:bookmarkEnd w:id="1811"/>
    <w:bookmarkStart w:name="z5199" w:id="1812"/>
    <w:p>
      <w:pPr>
        <w:spacing w:after="0"/>
        <w:ind w:left="0"/>
        <w:jc w:val="both"/>
      </w:pPr>
      <w:r>
        <w:rPr>
          <w:rFonts w:ascii="Times New Roman"/>
          <w:b w:val="false"/>
          <w:i w:val="false"/>
          <w:color w:val="000000"/>
          <w:sz w:val="28"/>
        </w:rPr>
        <w:t>
      3) система руководства и управления рисками.</w:t>
      </w:r>
    </w:p>
    <w:bookmarkEnd w:id="1812"/>
    <w:bookmarkStart w:name="z5200" w:id="1813"/>
    <w:p>
      <w:pPr>
        <w:spacing w:after="0"/>
        <w:ind w:left="0"/>
        <w:jc w:val="both"/>
      </w:pPr>
      <w:r>
        <w:rPr>
          <w:rFonts w:ascii="Times New Roman"/>
          <w:b w:val="false"/>
          <w:i w:val="false"/>
          <w:color w:val="000000"/>
          <w:sz w:val="28"/>
        </w:rPr>
        <w:t>
      Информация о системе руководства и управления рисками содержит, но не ограничиваясь, следующее описание:</w:t>
      </w:r>
    </w:p>
    <w:bookmarkEnd w:id="1813"/>
    <w:bookmarkStart w:name="z5201" w:id="1814"/>
    <w:p>
      <w:pPr>
        <w:spacing w:after="0"/>
        <w:ind w:left="0"/>
        <w:jc w:val="both"/>
      </w:pPr>
      <w:r>
        <w:rPr>
          <w:rFonts w:ascii="Times New Roman"/>
          <w:b w:val="false"/>
          <w:i w:val="false"/>
          <w:color w:val="000000"/>
          <w:sz w:val="28"/>
        </w:rPr>
        <w:t>
      организационной структуры и взаимодействия между структурными подразделениями по вопросам ВПОДК и ВПОДЛ, включая систему уполномоченных коллегиальных органов банка, правила и процедуры управления рисками;</w:t>
      </w:r>
    </w:p>
    <w:bookmarkEnd w:id="1814"/>
    <w:bookmarkStart w:name="z5202" w:id="1815"/>
    <w:p>
      <w:pPr>
        <w:spacing w:after="0"/>
        <w:ind w:left="0"/>
        <w:jc w:val="both"/>
      </w:pPr>
      <w:r>
        <w:rPr>
          <w:rFonts w:ascii="Times New Roman"/>
          <w:b w:val="false"/>
          <w:i w:val="false"/>
          <w:color w:val="000000"/>
          <w:sz w:val="28"/>
        </w:rPr>
        <w:t>
      уровня компетенции членов комитета управления рисками, включая их общие управленческие навыки, знания и опыт;</w:t>
      </w:r>
    </w:p>
    <w:bookmarkEnd w:id="1815"/>
    <w:bookmarkStart w:name="z5203" w:id="1816"/>
    <w:p>
      <w:pPr>
        <w:spacing w:after="0"/>
        <w:ind w:left="0"/>
        <w:jc w:val="both"/>
      </w:pPr>
      <w:r>
        <w:rPr>
          <w:rFonts w:ascii="Times New Roman"/>
          <w:b w:val="false"/>
          <w:i w:val="false"/>
          <w:color w:val="000000"/>
          <w:sz w:val="28"/>
        </w:rPr>
        <w:t>
      регулярных собраний уполномоченных коллегиальных органов банка по вопросам ВПОДК и ВПОДЛ;</w:t>
      </w:r>
    </w:p>
    <w:bookmarkEnd w:id="1816"/>
    <w:bookmarkStart w:name="z5204" w:id="1817"/>
    <w:p>
      <w:pPr>
        <w:spacing w:after="0"/>
        <w:ind w:left="0"/>
        <w:jc w:val="both"/>
      </w:pPr>
      <w:r>
        <w:rPr>
          <w:rFonts w:ascii="Times New Roman"/>
          <w:b w:val="false"/>
          <w:i w:val="false"/>
          <w:color w:val="000000"/>
          <w:sz w:val="28"/>
        </w:rPr>
        <w:t>
      сведений об управленческой отчетности, формируемой в рамках ВПОДК и ВПОДЛ, которые заполняются в соответствии с Таблицей 1 приложения к Структуре отчета по соблюдению внутреннего процесса оценки достаточности капитала и внутреннего процесса оценки достаточности ликвидности (далее - Структура).</w:t>
      </w:r>
    </w:p>
    <w:bookmarkEnd w:id="1817"/>
    <w:bookmarkStart w:name="z5205" w:id="1818"/>
    <w:p>
      <w:pPr>
        <w:spacing w:after="0"/>
        <w:ind w:left="0"/>
        <w:jc w:val="both"/>
      </w:pPr>
      <w:r>
        <w:rPr>
          <w:rFonts w:ascii="Times New Roman"/>
          <w:b w:val="false"/>
          <w:i w:val="false"/>
          <w:color w:val="000000"/>
          <w:sz w:val="28"/>
        </w:rPr>
        <w:t>
      3. Раздел "Информация о структуре риск-аппетита" содержит, но не ограничиваясь, следующее описание:</w:t>
      </w:r>
    </w:p>
    <w:bookmarkEnd w:id="1818"/>
    <w:bookmarkStart w:name="z5206" w:id="1819"/>
    <w:p>
      <w:pPr>
        <w:spacing w:after="0"/>
        <w:ind w:left="0"/>
        <w:jc w:val="both"/>
      </w:pPr>
      <w:r>
        <w:rPr>
          <w:rFonts w:ascii="Times New Roman"/>
          <w:b w:val="false"/>
          <w:i w:val="false"/>
          <w:color w:val="000000"/>
          <w:sz w:val="28"/>
        </w:rPr>
        <w:t>
      общей системы управления риск-аппетитами, включая наличие уполномоченных коллегиальных органов банка, ответственных за реализацию процессов, контролирующих мероприятий и информационных систем;</w:t>
      </w:r>
    </w:p>
    <w:bookmarkEnd w:id="1819"/>
    <w:bookmarkStart w:name="z5207" w:id="1820"/>
    <w:p>
      <w:pPr>
        <w:spacing w:after="0"/>
        <w:ind w:left="0"/>
        <w:jc w:val="both"/>
      </w:pPr>
      <w:r>
        <w:rPr>
          <w:rFonts w:ascii="Times New Roman"/>
          <w:b w:val="false"/>
          <w:i w:val="false"/>
          <w:color w:val="000000"/>
          <w:sz w:val="28"/>
        </w:rPr>
        <w:t>
      принимаемых рисков, при которых осуществляется деятельность банка в рамках реализации общей стратегии банка;</w:t>
      </w:r>
    </w:p>
    <w:bookmarkEnd w:id="1820"/>
    <w:bookmarkStart w:name="z5208" w:id="1821"/>
    <w:p>
      <w:pPr>
        <w:spacing w:after="0"/>
        <w:ind w:left="0"/>
        <w:jc w:val="both"/>
      </w:pPr>
      <w:r>
        <w:rPr>
          <w:rFonts w:ascii="Times New Roman"/>
          <w:b w:val="false"/>
          <w:i w:val="false"/>
          <w:color w:val="000000"/>
          <w:sz w:val="28"/>
        </w:rPr>
        <w:t>
      риск-профиля деятельности банка;</w:t>
      </w:r>
    </w:p>
    <w:bookmarkEnd w:id="1821"/>
    <w:bookmarkStart w:name="z5209" w:id="1822"/>
    <w:p>
      <w:pPr>
        <w:spacing w:after="0"/>
        <w:ind w:left="0"/>
        <w:jc w:val="both"/>
      </w:pPr>
      <w:r>
        <w:rPr>
          <w:rFonts w:ascii="Times New Roman"/>
          <w:b w:val="false"/>
          <w:i w:val="false"/>
          <w:color w:val="000000"/>
          <w:sz w:val="28"/>
        </w:rPr>
        <w:t>
      уровней риск-аппетита;</w:t>
      </w:r>
    </w:p>
    <w:bookmarkEnd w:id="1822"/>
    <w:bookmarkStart w:name="z5210" w:id="1823"/>
    <w:p>
      <w:pPr>
        <w:spacing w:after="0"/>
        <w:ind w:left="0"/>
        <w:jc w:val="both"/>
      </w:pPr>
      <w:r>
        <w:rPr>
          <w:rFonts w:ascii="Times New Roman"/>
          <w:b w:val="false"/>
          <w:i w:val="false"/>
          <w:color w:val="000000"/>
          <w:sz w:val="28"/>
        </w:rPr>
        <w:t>
      результатов оценки приемлемости установленного риск-аппетита в текущий период времени и насколько он будет приемлем в будущем;</w:t>
      </w:r>
    </w:p>
    <w:bookmarkEnd w:id="1823"/>
    <w:bookmarkStart w:name="z5211" w:id="1824"/>
    <w:p>
      <w:pPr>
        <w:spacing w:after="0"/>
        <w:ind w:left="0"/>
        <w:jc w:val="both"/>
      </w:pPr>
      <w:r>
        <w:rPr>
          <w:rFonts w:ascii="Times New Roman"/>
          <w:b w:val="false"/>
          <w:i w:val="false"/>
          <w:color w:val="000000"/>
          <w:sz w:val="28"/>
        </w:rPr>
        <w:t>
      Сведения о лимитах по уровням риск-аппетита заполняются в соответствии с Таблицей 2 приложения к Структуре.</w:t>
      </w:r>
    </w:p>
    <w:bookmarkEnd w:id="1824"/>
    <w:bookmarkStart w:name="z5212" w:id="1825"/>
    <w:p>
      <w:pPr>
        <w:spacing w:after="0"/>
        <w:ind w:left="0"/>
        <w:jc w:val="both"/>
      </w:pPr>
      <w:r>
        <w:rPr>
          <w:rFonts w:ascii="Times New Roman"/>
          <w:b w:val="false"/>
          <w:i w:val="false"/>
          <w:color w:val="000000"/>
          <w:sz w:val="28"/>
        </w:rPr>
        <w:t>
      4. Раздел "Информация о стресс-тестировании" содержит, но не ограничиваясь, следующее описание:</w:t>
      </w:r>
    </w:p>
    <w:bookmarkEnd w:id="1825"/>
    <w:bookmarkStart w:name="z5213" w:id="1826"/>
    <w:p>
      <w:pPr>
        <w:spacing w:after="0"/>
        <w:ind w:left="0"/>
        <w:jc w:val="both"/>
      </w:pPr>
      <w:r>
        <w:rPr>
          <w:rFonts w:ascii="Times New Roman"/>
          <w:b w:val="false"/>
          <w:i w:val="false"/>
          <w:color w:val="000000"/>
          <w:sz w:val="28"/>
        </w:rPr>
        <w:t>
      процедур проведения стресс-тестирований и утвержденных сценариев стресс-тестирования;</w:t>
      </w:r>
    </w:p>
    <w:bookmarkEnd w:id="1826"/>
    <w:bookmarkStart w:name="z5214" w:id="1827"/>
    <w:p>
      <w:pPr>
        <w:spacing w:after="0"/>
        <w:ind w:left="0"/>
        <w:jc w:val="both"/>
      </w:pPr>
      <w:r>
        <w:rPr>
          <w:rFonts w:ascii="Times New Roman"/>
          <w:b w:val="false"/>
          <w:i w:val="false"/>
          <w:color w:val="000000"/>
          <w:sz w:val="28"/>
        </w:rPr>
        <w:t>
      результатов стресс-тестирования на риск-метрики, показатели по стратегии и бюджету, риск-аппетит, иные показатели, утвержденные банком;</w:t>
      </w:r>
    </w:p>
    <w:bookmarkEnd w:id="1827"/>
    <w:bookmarkStart w:name="z5215" w:id="1828"/>
    <w:p>
      <w:pPr>
        <w:spacing w:after="0"/>
        <w:ind w:left="0"/>
        <w:jc w:val="both"/>
      </w:pPr>
      <w:r>
        <w:rPr>
          <w:rFonts w:ascii="Times New Roman"/>
          <w:b w:val="false"/>
          <w:i w:val="false"/>
          <w:color w:val="000000"/>
          <w:sz w:val="28"/>
        </w:rPr>
        <w:t>
      интеграции результатов стресс-тестирования в систему управления рисками и контроля;</w:t>
      </w:r>
    </w:p>
    <w:bookmarkEnd w:id="1828"/>
    <w:bookmarkStart w:name="z5216" w:id="1829"/>
    <w:p>
      <w:pPr>
        <w:spacing w:after="0"/>
        <w:ind w:left="0"/>
        <w:jc w:val="both"/>
      </w:pPr>
      <w:r>
        <w:rPr>
          <w:rFonts w:ascii="Times New Roman"/>
          <w:b w:val="false"/>
          <w:i w:val="false"/>
          <w:color w:val="000000"/>
          <w:sz w:val="28"/>
        </w:rPr>
        <w:t>
      взаимодействия (интеграции) между стресс-тестами платежеспособности и ликвидности, в том числе стресс-тестов, специфичных для ВПОДК и ВПОДЛ.</w:t>
      </w:r>
    </w:p>
    <w:bookmarkEnd w:id="1829"/>
    <w:bookmarkStart w:name="z5217" w:id="1830"/>
    <w:p>
      <w:pPr>
        <w:spacing w:after="0"/>
        <w:ind w:left="0"/>
        <w:jc w:val="both"/>
      </w:pPr>
      <w:r>
        <w:rPr>
          <w:rFonts w:ascii="Times New Roman"/>
          <w:b w:val="false"/>
          <w:i w:val="false"/>
          <w:color w:val="000000"/>
          <w:sz w:val="28"/>
        </w:rPr>
        <w:t>
      5. Раздел "Информационные системы" содержит, но не ограничиваясь, следующее описание:</w:t>
      </w:r>
    </w:p>
    <w:bookmarkEnd w:id="1830"/>
    <w:bookmarkStart w:name="z5218" w:id="1831"/>
    <w:p>
      <w:pPr>
        <w:spacing w:after="0"/>
        <w:ind w:left="0"/>
        <w:jc w:val="both"/>
      </w:pPr>
      <w:r>
        <w:rPr>
          <w:rFonts w:ascii="Times New Roman"/>
          <w:b w:val="false"/>
          <w:i w:val="false"/>
          <w:color w:val="000000"/>
          <w:sz w:val="28"/>
        </w:rPr>
        <w:t>
      информационных систем, используемых для управления рисками банка, в том числе используемых для мониторинга качества кредитного портфеля, а также обеспечивающих функционирование системы управления риском ликвидности;</w:t>
      </w:r>
    </w:p>
    <w:bookmarkEnd w:id="1831"/>
    <w:bookmarkStart w:name="z5219" w:id="1832"/>
    <w:p>
      <w:pPr>
        <w:spacing w:after="0"/>
        <w:ind w:left="0"/>
        <w:jc w:val="both"/>
      </w:pPr>
      <w:r>
        <w:rPr>
          <w:rFonts w:ascii="Times New Roman"/>
          <w:b w:val="false"/>
          <w:i w:val="false"/>
          <w:color w:val="000000"/>
          <w:sz w:val="28"/>
        </w:rPr>
        <w:t>
      информационных систем, используемых в целях обеспечения полной, достоверной и своевременной финансовой, регуляторной и управленческой информации;</w:t>
      </w:r>
    </w:p>
    <w:bookmarkEnd w:id="1832"/>
    <w:bookmarkStart w:name="z5220" w:id="1833"/>
    <w:p>
      <w:pPr>
        <w:spacing w:after="0"/>
        <w:ind w:left="0"/>
        <w:jc w:val="both"/>
      </w:pPr>
      <w:r>
        <w:rPr>
          <w:rFonts w:ascii="Times New Roman"/>
          <w:b w:val="false"/>
          <w:i w:val="false"/>
          <w:color w:val="000000"/>
          <w:sz w:val="28"/>
        </w:rPr>
        <w:t>
      процессов сбора, хранения и агрегирования данных по рискам на различных уровнях;</w:t>
      </w:r>
    </w:p>
    <w:bookmarkEnd w:id="1833"/>
    <w:bookmarkStart w:name="z5221" w:id="1834"/>
    <w:p>
      <w:pPr>
        <w:spacing w:after="0"/>
        <w:ind w:left="0"/>
        <w:jc w:val="both"/>
      </w:pPr>
      <w:r>
        <w:rPr>
          <w:rFonts w:ascii="Times New Roman"/>
          <w:b w:val="false"/>
          <w:i w:val="false"/>
          <w:color w:val="000000"/>
          <w:sz w:val="28"/>
        </w:rPr>
        <w:t>
      потока данных и структуры данных, используемых для ВПОДК и ВПОДЛ, в том числе с описанием применяемых проверок данных.</w:t>
      </w:r>
    </w:p>
    <w:bookmarkEnd w:id="1834"/>
    <w:bookmarkStart w:name="z5222" w:id="1835"/>
    <w:p>
      <w:pPr>
        <w:spacing w:after="0"/>
        <w:ind w:left="0"/>
        <w:jc w:val="left"/>
      </w:pPr>
      <w:r>
        <w:rPr>
          <w:rFonts w:ascii="Times New Roman"/>
          <w:b/>
          <w:i w:val="false"/>
          <w:color w:val="000000"/>
        </w:rPr>
        <w:t xml:space="preserve"> Глава 2. Информация о ВПОДК</w:t>
      </w:r>
    </w:p>
    <w:bookmarkEnd w:id="1835"/>
    <w:bookmarkStart w:name="z5223" w:id="1836"/>
    <w:p>
      <w:pPr>
        <w:spacing w:after="0"/>
        <w:ind w:left="0"/>
        <w:jc w:val="both"/>
      </w:pPr>
      <w:r>
        <w:rPr>
          <w:rFonts w:ascii="Times New Roman"/>
          <w:b w:val="false"/>
          <w:i w:val="false"/>
          <w:color w:val="000000"/>
          <w:sz w:val="28"/>
        </w:rPr>
        <w:t>
      6. Информация о ВПОДК включает, но не ограничиваясь, следующие разделы:</w:t>
      </w:r>
    </w:p>
    <w:bookmarkEnd w:id="1836"/>
    <w:bookmarkStart w:name="z5224" w:id="1837"/>
    <w:p>
      <w:pPr>
        <w:spacing w:after="0"/>
        <w:ind w:left="0"/>
        <w:jc w:val="both"/>
      </w:pPr>
      <w:r>
        <w:rPr>
          <w:rFonts w:ascii="Times New Roman"/>
          <w:b w:val="false"/>
          <w:i w:val="false"/>
          <w:color w:val="000000"/>
          <w:sz w:val="28"/>
        </w:rPr>
        <w:t>
      1) общая система ВПОДК;</w:t>
      </w:r>
    </w:p>
    <w:bookmarkEnd w:id="1837"/>
    <w:bookmarkStart w:name="z5225" w:id="1838"/>
    <w:p>
      <w:pPr>
        <w:spacing w:after="0"/>
        <w:ind w:left="0"/>
        <w:jc w:val="both"/>
      </w:pPr>
      <w:r>
        <w:rPr>
          <w:rFonts w:ascii="Times New Roman"/>
          <w:b w:val="false"/>
          <w:i w:val="false"/>
          <w:color w:val="000000"/>
          <w:sz w:val="28"/>
        </w:rPr>
        <w:t>
      2) выявление, оценка, контроль и мониторинг рисков;</w:t>
      </w:r>
    </w:p>
    <w:bookmarkEnd w:id="1838"/>
    <w:bookmarkStart w:name="z5226" w:id="1839"/>
    <w:p>
      <w:pPr>
        <w:spacing w:after="0"/>
        <w:ind w:left="0"/>
        <w:jc w:val="both"/>
      </w:pPr>
      <w:r>
        <w:rPr>
          <w:rFonts w:ascii="Times New Roman"/>
          <w:b w:val="false"/>
          <w:i w:val="false"/>
          <w:color w:val="000000"/>
          <w:sz w:val="28"/>
        </w:rPr>
        <w:t>
      3) внутренний (экономический) капитал и распределение внутреннего (экономического) капитала;</w:t>
      </w:r>
    </w:p>
    <w:bookmarkEnd w:id="1839"/>
    <w:bookmarkStart w:name="z5227" w:id="1840"/>
    <w:p>
      <w:pPr>
        <w:spacing w:after="0"/>
        <w:ind w:left="0"/>
        <w:jc w:val="both"/>
      </w:pPr>
      <w:r>
        <w:rPr>
          <w:rFonts w:ascii="Times New Roman"/>
          <w:b w:val="false"/>
          <w:i w:val="false"/>
          <w:color w:val="000000"/>
          <w:sz w:val="28"/>
        </w:rPr>
        <w:t>
      4) стресс-тестирование;</w:t>
      </w:r>
    </w:p>
    <w:bookmarkEnd w:id="1840"/>
    <w:bookmarkStart w:name="z5228" w:id="1841"/>
    <w:p>
      <w:pPr>
        <w:spacing w:after="0"/>
        <w:ind w:left="0"/>
        <w:jc w:val="both"/>
      </w:pPr>
      <w:r>
        <w:rPr>
          <w:rFonts w:ascii="Times New Roman"/>
          <w:b w:val="false"/>
          <w:i w:val="false"/>
          <w:color w:val="000000"/>
          <w:sz w:val="28"/>
        </w:rPr>
        <w:t>
      5) самооценка.</w:t>
      </w:r>
    </w:p>
    <w:bookmarkEnd w:id="1841"/>
    <w:bookmarkStart w:name="z5229" w:id="1842"/>
    <w:p>
      <w:pPr>
        <w:spacing w:after="0"/>
        <w:ind w:left="0"/>
        <w:jc w:val="both"/>
      </w:pPr>
      <w:r>
        <w:rPr>
          <w:rFonts w:ascii="Times New Roman"/>
          <w:b w:val="false"/>
          <w:i w:val="false"/>
          <w:color w:val="000000"/>
          <w:sz w:val="28"/>
        </w:rPr>
        <w:t>
      7. Раздел "Общая система ВПОДК" содержит, но не ограничиваясь, следующие подразделы:</w:t>
      </w:r>
    </w:p>
    <w:bookmarkEnd w:id="1842"/>
    <w:bookmarkStart w:name="z5230" w:id="1843"/>
    <w:p>
      <w:pPr>
        <w:spacing w:after="0"/>
        <w:ind w:left="0"/>
        <w:jc w:val="both"/>
      </w:pPr>
      <w:r>
        <w:rPr>
          <w:rFonts w:ascii="Times New Roman"/>
          <w:b w:val="false"/>
          <w:i w:val="false"/>
          <w:color w:val="000000"/>
          <w:sz w:val="28"/>
        </w:rPr>
        <w:t>
      цели и области применения ВПОДК;</w:t>
      </w:r>
    </w:p>
    <w:bookmarkEnd w:id="1843"/>
    <w:bookmarkStart w:name="z5231" w:id="1844"/>
    <w:p>
      <w:pPr>
        <w:spacing w:after="0"/>
        <w:ind w:left="0"/>
        <w:jc w:val="both"/>
      </w:pPr>
      <w:r>
        <w:rPr>
          <w:rFonts w:ascii="Times New Roman"/>
          <w:b w:val="false"/>
          <w:i w:val="false"/>
          <w:color w:val="000000"/>
          <w:sz w:val="28"/>
        </w:rPr>
        <w:t>
      сведения о процессах ВПОДК, которые заполняются в соответствии с Таблицей 3 приложения к Структуре;</w:t>
      </w:r>
    </w:p>
    <w:bookmarkEnd w:id="1844"/>
    <w:bookmarkStart w:name="z5232" w:id="1845"/>
    <w:p>
      <w:pPr>
        <w:spacing w:after="0"/>
        <w:ind w:left="0"/>
        <w:jc w:val="both"/>
      </w:pPr>
      <w:r>
        <w:rPr>
          <w:rFonts w:ascii="Times New Roman"/>
          <w:b w:val="false"/>
          <w:i w:val="false"/>
          <w:color w:val="000000"/>
          <w:sz w:val="28"/>
        </w:rPr>
        <w:t>
      перечня рисков, предусмотренных ВПОДК, с обоснованием возможных различий между рисками, охваченными ВПОДК, и риск аппетитом.</w:t>
      </w:r>
    </w:p>
    <w:bookmarkEnd w:id="1845"/>
    <w:bookmarkStart w:name="z5233" w:id="1846"/>
    <w:p>
      <w:pPr>
        <w:spacing w:after="0"/>
        <w:ind w:left="0"/>
        <w:jc w:val="both"/>
      </w:pPr>
      <w:r>
        <w:rPr>
          <w:rFonts w:ascii="Times New Roman"/>
          <w:b w:val="false"/>
          <w:i w:val="false"/>
          <w:color w:val="000000"/>
          <w:sz w:val="28"/>
        </w:rPr>
        <w:t>
      8. Раздел "Выявление, оценка, контроль и мониторинг рисков" содержит, но не ограничиваясь, следующие подразделы:</w:t>
      </w:r>
    </w:p>
    <w:bookmarkEnd w:id="1846"/>
    <w:bookmarkStart w:name="z5234" w:id="1847"/>
    <w:p>
      <w:pPr>
        <w:spacing w:after="0"/>
        <w:ind w:left="0"/>
        <w:jc w:val="both"/>
      </w:pPr>
      <w:r>
        <w:rPr>
          <w:rFonts w:ascii="Times New Roman"/>
          <w:b w:val="false"/>
          <w:i w:val="false"/>
          <w:color w:val="000000"/>
          <w:sz w:val="28"/>
        </w:rPr>
        <w:t>
      1) выявление и оценка существенных рисков.</w:t>
      </w:r>
    </w:p>
    <w:bookmarkEnd w:id="1847"/>
    <w:bookmarkStart w:name="z5235" w:id="1848"/>
    <w:p>
      <w:pPr>
        <w:spacing w:after="0"/>
        <w:ind w:left="0"/>
        <w:jc w:val="both"/>
      </w:pPr>
      <w:r>
        <w:rPr>
          <w:rFonts w:ascii="Times New Roman"/>
          <w:b w:val="false"/>
          <w:i w:val="false"/>
          <w:color w:val="000000"/>
          <w:sz w:val="28"/>
        </w:rPr>
        <w:t>
      Информация о выявлении существенных рисков содержит, но не ограничиваясь, следующее описание:</w:t>
      </w:r>
    </w:p>
    <w:bookmarkEnd w:id="1848"/>
    <w:bookmarkStart w:name="z5236" w:id="1849"/>
    <w:p>
      <w:pPr>
        <w:spacing w:after="0"/>
        <w:ind w:left="0"/>
        <w:jc w:val="both"/>
      </w:pPr>
      <w:r>
        <w:rPr>
          <w:rFonts w:ascii="Times New Roman"/>
          <w:b w:val="false"/>
          <w:i w:val="false"/>
          <w:color w:val="000000"/>
          <w:sz w:val="28"/>
        </w:rPr>
        <w:t>
      методологии выявления рисков, распределения по видам рисков, которым подвержен или может быть подвержен банк в будущем в ходе ведения бизнеса и реализации стратегии, определение существенности;</w:t>
      </w:r>
    </w:p>
    <w:bookmarkEnd w:id="1849"/>
    <w:bookmarkStart w:name="z5237" w:id="1850"/>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1850"/>
    <w:bookmarkStart w:name="z5238" w:id="1851"/>
    <w:p>
      <w:pPr>
        <w:spacing w:after="0"/>
        <w:ind w:left="0"/>
        <w:jc w:val="both"/>
      </w:pPr>
      <w:r>
        <w:rPr>
          <w:rFonts w:ascii="Times New Roman"/>
          <w:b w:val="false"/>
          <w:i w:val="false"/>
          <w:color w:val="000000"/>
          <w:sz w:val="28"/>
        </w:rPr>
        <w:t>
      функций и обязанностей подразделений в рамках процесса выявления существенных рисков.</w:t>
      </w:r>
    </w:p>
    <w:bookmarkEnd w:id="1851"/>
    <w:bookmarkStart w:name="z5239" w:id="1852"/>
    <w:p>
      <w:pPr>
        <w:spacing w:after="0"/>
        <w:ind w:left="0"/>
        <w:jc w:val="both"/>
      </w:pPr>
      <w:r>
        <w:rPr>
          <w:rFonts w:ascii="Times New Roman"/>
          <w:b w:val="false"/>
          <w:i w:val="false"/>
          <w:color w:val="000000"/>
          <w:sz w:val="28"/>
        </w:rPr>
        <w:t>
      Сведения о структуре рисков банка заполняются в соответствии с Таблицей 4 приложения к Структуре.</w:t>
      </w:r>
    </w:p>
    <w:bookmarkEnd w:id="1852"/>
    <w:bookmarkStart w:name="z5240" w:id="1853"/>
    <w:p>
      <w:pPr>
        <w:spacing w:after="0"/>
        <w:ind w:left="0"/>
        <w:jc w:val="both"/>
      </w:pPr>
      <w:r>
        <w:rPr>
          <w:rFonts w:ascii="Times New Roman"/>
          <w:b w:val="false"/>
          <w:i w:val="false"/>
          <w:color w:val="000000"/>
          <w:sz w:val="28"/>
        </w:rPr>
        <w:t>
      Сведения о процентном риске банковского портфеля содержат, но не ограничиваясь, следующее:</w:t>
      </w:r>
    </w:p>
    <w:bookmarkEnd w:id="1853"/>
    <w:bookmarkStart w:name="z5241" w:id="1854"/>
    <w:p>
      <w:pPr>
        <w:spacing w:after="0"/>
        <w:ind w:left="0"/>
        <w:jc w:val="both"/>
      </w:pPr>
      <w:r>
        <w:rPr>
          <w:rFonts w:ascii="Times New Roman"/>
          <w:b w:val="false"/>
          <w:i w:val="false"/>
          <w:color w:val="000000"/>
          <w:sz w:val="28"/>
        </w:rPr>
        <w:t>
      Сведения о текущей стоимости банковской книги банка, заполняемые в соответствии с Таблицей 5 приложения к Структуре;</w:t>
      </w:r>
    </w:p>
    <w:bookmarkEnd w:id="1854"/>
    <w:bookmarkStart w:name="z5242" w:id="1855"/>
    <w:p>
      <w:pPr>
        <w:spacing w:after="0"/>
        <w:ind w:left="0"/>
        <w:jc w:val="both"/>
      </w:pPr>
      <w:r>
        <w:rPr>
          <w:rFonts w:ascii="Times New Roman"/>
          <w:b w:val="false"/>
          <w:i w:val="false"/>
          <w:color w:val="000000"/>
          <w:sz w:val="28"/>
        </w:rPr>
        <w:t>
      Сведения о чистом процентном доходе, заполняемые в соответствии с Таблицей 6 приложения к Структуре;</w:t>
      </w:r>
    </w:p>
    <w:bookmarkEnd w:id="1855"/>
    <w:bookmarkStart w:name="z5243" w:id="1856"/>
    <w:p>
      <w:pPr>
        <w:spacing w:after="0"/>
        <w:ind w:left="0"/>
        <w:jc w:val="both"/>
      </w:pPr>
      <w:r>
        <w:rPr>
          <w:rFonts w:ascii="Times New Roman"/>
          <w:b w:val="false"/>
          <w:i w:val="false"/>
          <w:color w:val="000000"/>
          <w:sz w:val="28"/>
        </w:rPr>
        <w:t>
      2) осуществление контроля и мониторинга существенных рисков.</w:t>
      </w:r>
    </w:p>
    <w:bookmarkEnd w:id="1856"/>
    <w:bookmarkStart w:name="z5244" w:id="1857"/>
    <w:p>
      <w:pPr>
        <w:spacing w:after="0"/>
        <w:ind w:left="0"/>
        <w:jc w:val="both"/>
      </w:pPr>
      <w:r>
        <w:rPr>
          <w:rFonts w:ascii="Times New Roman"/>
          <w:b w:val="false"/>
          <w:i w:val="false"/>
          <w:color w:val="000000"/>
          <w:sz w:val="28"/>
        </w:rPr>
        <w:t>
      Информация об осуществлении контроля и мониторинга существенных рисков содержит, но не ограничиваясь, следующее описание:</w:t>
      </w:r>
    </w:p>
    <w:bookmarkEnd w:id="1857"/>
    <w:bookmarkStart w:name="z5245" w:id="1858"/>
    <w:p>
      <w:pPr>
        <w:spacing w:after="0"/>
        <w:ind w:left="0"/>
        <w:jc w:val="both"/>
      </w:pPr>
      <w:r>
        <w:rPr>
          <w:rFonts w:ascii="Times New Roman"/>
          <w:b w:val="false"/>
          <w:i w:val="false"/>
          <w:color w:val="000000"/>
          <w:sz w:val="28"/>
        </w:rPr>
        <w:t>
      процессов контроля и мониторинга существенных рисков с указанием функций и обязанностей подразделений банка;</w:t>
      </w:r>
    </w:p>
    <w:bookmarkEnd w:id="1858"/>
    <w:bookmarkStart w:name="z5246" w:id="1859"/>
    <w:p>
      <w:pPr>
        <w:spacing w:after="0"/>
        <w:ind w:left="0"/>
        <w:jc w:val="both"/>
      </w:pPr>
      <w:r>
        <w:rPr>
          <w:rFonts w:ascii="Times New Roman"/>
          <w:b w:val="false"/>
          <w:i w:val="false"/>
          <w:color w:val="000000"/>
          <w:sz w:val="28"/>
        </w:rPr>
        <w:t>
      используемых инструментов контроля, мониторинга и смягчения рисков;</w:t>
      </w:r>
    </w:p>
    <w:bookmarkEnd w:id="1859"/>
    <w:bookmarkStart w:name="z5247" w:id="1860"/>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рискам.</w:t>
      </w:r>
    </w:p>
    <w:bookmarkEnd w:id="1860"/>
    <w:bookmarkStart w:name="z5248" w:id="1861"/>
    <w:p>
      <w:pPr>
        <w:spacing w:after="0"/>
        <w:ind w:left="0"/>
        <w:jc w:val="both"/>
      </w:pPr>
      <w:r>
        <w:rPr>
          <w:rFonts w:ascii="Times New Roman"/>
          <w:b w:val="false"/>
          <w:i w:val="false"/>
          <w:color w:val="000000"/>
          <w:sz w:val="28"/>
        </w:rPr>
        <w:t>
      9. Раздел "Внутренний (экономический) капитал и распределение внутреннего (экономического) капитала" содержит, но не ограничиваясь, следующие подразделы:</w:t>
      </w:r>
    </w:p>
    <w:bookmarkEnd w:id="1861"/>
    <w:bookmarkStart w:name="z5249" w:id="1862"/>
    <w:p>
      <w:pPr>
        <w:spacing w:after="0"/>
        <w:ind w:left="0"/>
        <w:jc w:val="both"/>
      </w:pPr>
      <w:r>
        <w:rPr>
          <w:rFonts w:ascii="Times New Roman"/>
          <w:b w:val="false"/>
          <w:i w:val="false"/>
          <w:color w:val="000000"/>
          <w:sz w:val="28"/>
        </w:rPr>
        <w:t>
      1) внутренний (экономический) капитал.</w:t>
      </w:r>
    </w:p>
    <w:bookmarkEnd w:id="1862"/>
    <w:bookmarkStart w:name="z5250" w:id="1863"/>
    <w:p>
      <w:pPr>
        <w:spacing w:after="0"/>
        <w:ind w:left="0"/>
        <w:jc w:val="both"/>
      </w:pPr>
      <w:r>
        <w:rPr>
          <w:rFonts w:ascii="Times New Roman"/>
          <w:b w:val="false"/>
          <w:i w:val="false"/>
          <w:color w:val="000000"/>
          <w:sz w:val="28"/>
        </w:rPr>
        <w:t>
      Информация о внутреннем (экономическом) капитале содержит, но не ограничиваясь, следующее:</w:t>
      </w:r>
    </w:p>
    <w:bookmarkEnd w:id="1863"/>
    <w:bookmarkStart w:name="z5251" w:id="1864"/>
    <w:p>
      <w:pPr>
        <w:spacing w:after="0"/>
        <w:ind w:left="0"/>
        <w:jc w:val="both"/>
      </w:pPr>
      <w:r>
        <w:rPr>
          <w:rFonts w:ascii="Times New Roman"/>
          <w:b w:val="false"/>
          <w:i w:val="false"/>
          <w:color w:val="000000"/>
          <w:sz w:val="28"/>
        </w:rPr>
        <w:t>
      описание методологии расчета, моделей оценки внутреннего (экономического) капитала по всем существенным рискам;</w:t>
      </w:r>
    </w:p>
    <w:bookmarkEnd w:id="1864"/>
    <w:bookmarkStart w:name="z5252" w:id="1865"/>
    <w:p>
      <w:pPr>
        <w:spacing w:after="0"/>
        <w:ind w:left="0"/>
        <w:jc w:val="both"/>
      </w:pPr>
      <w:r>
        <w:rPr>
          <w:rFonts w:ascii="Times New Roman"/>
          <w:b w:val="false"/>
          <w:i w:val="false"/>
          <w:color w:val="000000"/>
          <w:sz w:val="28"/>
        </w:rPr>
        <w:t>
      описание данных, используемых для оценки внутреннего (экономического) капитала;</w:t>
      </w:r>
    </w:p>
    <w:bookmarkEnd w:id="1865"/>
    <w:bookmarkStart w:name="z5253" w:id="1866"/>
    <w:p>
      <w:pPr>
        <w:spacing w:after="0"/>
        <w:ind w:left="0"/>
        <w:jc w:val="both"/>
      </w:pPr>
      <w:r>
        <w:rPr>
          <w:rFonts w:ascii="Times New Roman"/>
          <w:b w:val="false"/>
          <w:i w:val="false"/>
          <w:color w:val="000000"/>
          <w:sz w:val="28"/>
        </w:rPr>
        <w:t>
      сумму необходимого внутреннего (экономического) капитала.</w:t>
      </w:r>
    </w:p>
    <w:bookmarkEnd w:id="1866"/>
    <w:bookmarkStart w:name="z5254" w:id="1867"/>
    <w:p>
      <w:pPr>
        <w:spacing w:after="0"/>
        <w:ind w:left="0"/>
        <w:jc w:val="both"/>
      </w:pPr>
      <w:r>
        <w:rPr>
          <w:rFonts w:ascii="Times New Roman"/>
          <w:b w:val="false"/>
          <w:i w:val="false"/>
          <w:color w:val="000000"/>
          <w:sz w:val="28"/>
        </w:rPr>
        <w:t>
      Сведения об оценке внутреннего (экономического) и регуляторного собственного капитала заполняются в соответствии с Таблицей 7 приложения к Структуре;</w:t>
      </w:r>
    </w:p>
    <w:bookmarkEnd w:id="1867"/>
    <w:bookmarkStart w:name="z5255" w:id="1868"/>
    <w:p>
      <w:pPr>
        <w:spacing w:after="0"/>
        <w:ind w:left="0"/>
        <w:jc w:val="both"/>
      </w:pPr>
      <w:r>
        <w:rPr>
          <w:rFonts w:ascii="Times New Roman"/>
          <w:b w:val="false"/>
          <w:i w:val="false"/>
          <w:color w:val="000000"/>
          <w:sz w:val="28"/>
        </w:rPr>
        <w:t>
      2) распределение капитала.</w:t>
      </w:r>
    </w:p>
    <w:bookmarkEnd w:id="1868"/>
    <w:bookmarkStart w:name="z5256" w:id="1869"/>
    <w:p>
      <w:pPr>
        <w:spacing w:after="0"/>
        <w:ind w:left="0"/>
        <w:jc w:val="both"/>
      </w:pPr>
      <w:r>
        <w:rPr>
          <w:rFonts w:ascii="Times New Roman"/>
          <w:b w:val="false"/>
          <w:i w:val="false"/>
          <w:color w:val="000000"/>
          <w:sz w:val="28"/>
        </w:rPr>
        <w:t>
      Информация о распределении капитала содержит, но не ограничиваясь, следующее описание:</w:t>
      </w:r>
    </w:p>
    <w:bookmarkEnd w:id="1869"/>
    <w:bookmarkStart w:name="z5257" w:id="1870"/>
    <w:p>
      <w:pPr>
        <w:spacing w:after="0"/>
        <w:ind w:left="0"/>
        <w:jc w:val="both"/>
      </w:pPr>
      <w:r>
        <w:rPr>
          <w:rFonts w:ascii="Times New Roman"/>
          <w:b w:val="false"/>
          <w:i w:val="false"/>
          <w:color w:val="000000"/>
          <w:sz w:val="28"/>
        </w:rPr>
        <w:t>
      методологии и допущений, используемых для распределения внутреннего (экономического) капитала по каждому существенному виду риска;</w:t>
      </w:r>
    </w:p>
    <w:bookmarkEnd w:id="1870"/>
    <w:bookmarkStart w:name="z5258" w:id="1871"/>
    <w:p>
      <w:pPr>
        <w:spacing w:after="0"/>
        <w:ind w:left="0"/>
        <w:jc w:val="both"/>
      </w:pPr>
      <w:r>
        <w:rPr>
          <w:rFonts w:ascii="Times New Roman"/>
          <w:b w:val="false"/>
          <w:i w:val="false"/>
          <w:color w:val="000000"/>
          <w:sz w:val="28"/>
        </w:rPr>
        <w:t>
      применения результатов стресс-тестирования.</w:t>
      </w:r>
    </w:p>
    <w:bookmarkEnd w:id="1871"/>
    <w:bookmarkStart w:name="z5259" w:id="1872"/>
    <w:p>
      <w:pPr>
        <w:spacing w:after="0"/>
        <w:ind w:left="0"/>
        <w:jc w:val="both"/>
      </w:pPr>
      <w:r>
        <w:rPr>
          <w:rFonts w:ascii="Times New Roman"/>
          <w:b w:val="false"/>
          <w:i w:val="false"/>
          <w:color w:val="000000"/>
          <w:sz w:val="28"/>
        </w:rPr>
        <w:t>
      10. Раздел "Стресс-тестирование" содержит, но не ограничиваясь, следующие подразделы:</w:t>
      </w:r>
    </w:p>
    <w:bookmarkEnd w:id="1872"/>
    <w:bookmarkStart w:name="z5260" w:id="1873"/>
    <w:p>
      <w:pPr>
        <w:spacing w:after="0"/>
        <w:ind w:left="0"/>
        <w:jc w:val="both"/>
      </w:pPr>
      <w:r>
        <w:rPr>
          <w:rFonts w:ascii="Times New Roman"/>
          <w:b w:val="false"/>
          <w:i w:val="false"/>
          <w:color w:val="000000"/>
          <w:sz w:val="28"/>
        </w:rPr>
        <w:t>
      1) сценарии стресс-тестирования.</w:t>
      </w:r>
    </w:p>
    <w:bookmarkEnd w:id="1873"/>
    <w:bookmarkStart w:name="z5261" w:id="1874"/>
    <w:p>
      <w:pPr>
        <w:spacing w:after="0"/>
        <w:ind w:left="0"/>
        <w:jc w:val="both"/>
      </w:pPr>
      <w:r>
        <w:rPr>
          <w:rFonts w:ascii="Times New Roman"/>
          <w:b w:val="false"/>
          <w:i w:val="false"/>
          <w:color w:val="000000"/>
          <w:sz w:val="28"/>
        </w:rPr>
        <w:t>
      Информация о сценариях стресс-тестирования содержит, но не ограничиваясь, следующее:</w:t>
      </w:r>
    </w:p>
    <w:bookmarkEnd w:id="1874"/>
    <w:bookmarkStart w:name="z5262" w:id="1875"/>
    <w:p>
      <w:pPr>
        <w:spacing w:after="0"/>
        <w:ind w:left="0"/>
        <w:jc w:val="both"/>
      </w:pPr>
      <w:r>
        <w:rPr>
          <w:rFonts w:ascii="Times New Roman"/>
          <w:b w:val="false"/>
          <w:i w:val="false"/>
          <w:color w:val="000000"/>
          <w:sz w:val="28"/>
        </w:rPr>
        <w:t>
      описание методов и сценариев стресс-тестирования в разрезе существенных рисков, их периодичность, методологию и используемые допущения;</w:t>
      </w:r>
    </w:p>
    <w:bookmarkEnd w:id="1875"/>
    <w:bookmarkStart w:name="z5263" w:id="1876"/>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1876"/>
    <w:bookmarkStart w:name="z5264" w:id="1877"/>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1877"/>
    <w:bookmarkStart w:name="z5265" w:id="1878"/>
    <w:p>
      <w:pPr>
        <w:spacing w:after="0"/>
        <w:ind w:left="0"/>
        <w:jc w:val="both"/>
      </w:pPr>
      <w:r>
        <w:rPr>
          <w:rFonts w:ascii="Times New Roman"/>
          <w:b w:val="false"/>
          <w:i w:val="false"/>
          <w:color w:val="000000"/>
          <w:sz w:val="28"/>
        </w:rPr>
        <w:t>
      источники информации о финансовых и экономических факторах.</w:t>
      </w:r>
    </w:p>
    <w:bookmarkEnd w:id="1878"/>
    <w:bookmarkStart w:name="z5266" w:id="1879"/>
    <w:p>
      <w:pPr>
        <w:spacing w:after="0"/>
        <w:ind w:left="0"/>
        <w:jc w:val="both"/>
      </w:pPr>
      <w:r>
        <w:rPr>
          <w:rFonts w:ascii="Times New Roman"/>
          <w:b w:val="false"/>
          <w:i w:val="false"/>
          <w:color w:val="000000"/>
          <w:sz w:val="28"/>
        </w:rPr>
        <w:t>
      Сведения о сценариях стресс-тестирования заполняются в соответствии с Таблицей 8 приложения к Структуре;</w:t>
      </w:r>
    </w:p>
    <w:bookmarkEnd w:id="1879"/>
    <w:bookmarkStart w:name="z5267" w:id="1880"/>
    <w:p>
      <w:pPr>
        <w:spacing w:after="0"/>
        <w:ind w:left="0"/>
        <w:jc w:val="both"/>
      </w:pPr>
      <w:r>
        <w:rPr>
          <w:rFonts w:ascii="Times New Roman"/>
          <w:b w:val="false"/>
          <w:i w:val="false"/>
          <w:color w:val="000000"/>
          <w:sz w:val="28"/>
        </w:rPr>
        <w:t>
      2) количественный и качественный анализ.</w:t>
      </w:r>
    </w:p>
    <w:bookmarkEnd w:id="1880"/>
    <w:bookmarkStart w:name="z5268" w:id="1881"/>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1881"/>
    <w:bookmarkStart w:name="z5269" w:id="1882"/>
    <w:p>
      <w:pPr>
        <w:spacing w:after="0"/>
        <w:ind w:left="0"/>
        <w:jc w:val="both"/>
      </w:pPr>
      <w:r>
        <w:rPr>
          <w:rFonts w:ascii="Times New Roman"/>
          <w:b w:val="false"/>
          <w:i w:val="false"/>
          <w:color w:val="000000"/>
          <w:sz w:val="28"/>
        </w:rPr>
        <w:t>
      моделей и обоснованности использования выбранных моделей;</w:t>
      </w:r>
    </w:p>
    <w:bookmarkEnd w:id="1882"/>
    <w:bookmarkStart w:name="z5270" w:id="1883"/>
    <w:p>
      <w:pPr>
        <w:spacing w:after="0"/>
        <w:ind w:left="0"/>
        <w:jc w:val="both"/>
      </w:pPr>
      <w:r>
        <w:rPr>
          <w:rFonts w:ascii="Times New Roman"/>
          <w:b w:val="false"/>
          <w:i w:val="false"/>
          <w:color w:val="000000"/>
          <w:sz w:val="28"/>
        </w:rPr>
        <w:t>
      основных результатов внутренней оценки достаточности капитала при стрессовых ситуациях с указанием воздействия на финансовое состояние банка, в том числе с оценкой размеров и достаточности внутреннего (экономического) и регуляторного капитала;</w:t>
      </w:r>
    </w:p>
    <w:bookmarkEnd w:id="1883"/>
    <w:bookmarkStart w:name="z5271" w:id="1884"/>
    <w:p>
      <w:pPr>
        <w:spacing w:after="0"/>
        <w:ind w:left="0"/>
        <w:jc w:val="both"/>
      </w:pPr>
      <w:r>
        <w:rPr>
          <w:rFonts w:ascii="Times New Roman"/>
          <w:b w:val="false"/>
          <w:i w:val="false"/>
          <w:color w:val="000000"/>
          <w:sz w:val="28"/>
        </w:rPr>
        <w:t>
      влияния результатов сценария на бизнес-модель, стратегию и существенные риски банка в рамках ВПОДК;</w:t>
      </w:r>
    </w:p>
    <w:bookmarkEnd w:id="1884"/>
    <w:bookmarkStart w:name="z5272" w:id="1885"/>
    <w:p>
      <w:pPr>
        <w:spacing w:after="0"/>
        <w:ind w:left="0"/>
        <w:jc w:val="both"/>
      </w:pPr>
      <w:r>
        <w:rPr>
          <w:rFonts w:ascii="Times New Roman"/>
          <w:b w:val="false"/>
          <w:i w:val="false"/>
          <w:color w:val="000000"/>
          <w:sz w:val="28"/>
        </w:rPr>
        <w:t>
      подхода интеграции результатов стресс-тестирования в процесс установления внутренних лимитов.</w:t>
      </w:r>
    </w:p>
    <w:bookmarkEnd w:id="1885"/>
    <w:bookmarkStart w:name="z5273" w:id="1886"/>
    <w:p>
      <w:pPr>
        <w:spacing w:after="0"/>
        <w:ind w:left="0"/>
        <w:jc w:val="both"/>
      </w:pPr>
      <w:r>
        <w:rPr>
          <w:rFonts w:ascii="Times New Roman"/>
          <w:b w:val="false"/>
          <w:i w:val="false"/>
          <w:color w:val="000000"/>
          <w:sz w:val="28"/>
        </w:rPr>
        <w:t>
      11. Раздел "Самооценка" содержит, но не ограничиваясь, следующие подразделы:</w:t>
      </w:r>
    </w:p>
    <w:bookmarkEnd w:id="1886"/>
    <w:bookmarkStart w:name="z5274" w:id="1887"/>
    <w:p>
      <w:pPr>
        <w:spacing w:after="0"/>
        <w:ind w:left="0"/>
        <w:jc w:val="both"/>
      </w:pPr>
      <w:r>
        <w:rPr>
          <w:rFonts w:ascii="Times New Roman"/>
          <w:b w:val="false"/>
          <w:i w:val="false"/>
          <w:color w:val="000000"/>
          <w:sz w:val="28"/>
        </w:rPr>
        <w:t>
      1) запланированные мероприятия отчетного периода.</w:t>
      </w:r>
    </w:p>
    <w:bookmarkEnd w:id="1887"/>
    <w:bookmarkStart w:name="z5275" w:id="1888"/>
    <w:p>
      <w:pPr>
        <w:spacing w:after="0"/>
        <w:ind w:left="0"/>
        <w:jc w:val="both"/>
      </w:pPr>
      <w:r>
        <w:rPr>
          <w:rFonts w:ascii="Times New Roman"/>
          <w:b w:val="false"/>
          <w:i w:val="false"/>
          <w:color w:val="000000"/>
          <w:sz w:val="28"/>
        </w:rPr>
        <w:t>
      Банк описывает мероприятия, запланированные на отчетный год, в том числе мероприятия, позволяющие соблюдать необходимый уровень внутреннего (экономического) капитала, и соответствующие результаты принятых мер;</w:t>
      </w:r>
    </w:p>
    <w:bookmarkEnd w:id="1888"/>
    <w:bookmarkStart w:name="z5276" w:id="1889"/>
    <w:p>
      <w:pPr>
        <w:spacing w:after="0"/>
        <w:ind w:left="0"/>
        <w:jc w:val="both"/>
      </w:pPr>
      <w:r>
        <w:rPr>
          <w:rFonts w:ascii="Times New Roman"/>
          <w:b w:val="false"/>
          <w:i w:val="false"/>
          <w:color w:val="000000"/>
          <w:sz w:val="28"/>
        </w:rPr>
        <w:t>
      2) общая оценка.</w:t>
      </w:r>
    </w:p>
    <w:bookmarkEnd w:id="1889"/>
    <w:bookmarkStart w:name="z5277" w:id="1890"/>
    <w:p>
      <w:pPr>
        <w:spacing w:after="0"/>
        <w:ind w:left="0"/>
        <w:jc w:val="both"/>
      </w:pPr>
      <w:r>
        <w:rPr>
          <w:rFonts w:ascii="Times New Roman"/>
          <w:b w:val="false"/>
          <w:i w:val="false"/>
          <w:color w:val="000000"/>
          <w:sz w:val="28"/>
        </w:rPr>
        <w:t>
      Банк проводит анализ и оценку всего процесса, включая внутренние правила, контролирующие мероприятия, ресурсы, системы измерения и отчетности;</w:t>
      </w:r>
    </w:p>
    <w:bookmarkEnd w:id="1890"/>
    <w:bookmarkStart w:name="z5278" w:id="1891"/>
    <w:p>
      <w:pPr>
        <w:spacing w:after="0"/>
        <w:ind w:left="0"/>
        <w:jc w:val="both"/>
      </w:pPr>
      <w:r>
        <w:rPr>
          <w:rFonts w:ascii="Times New Roman"/>
          <w:b w:val="false"/>
          <w:i w:val="false"/>
          <w:color w:val="000000"/>
          <w:sz w:val="28"/>
        </w:rPr>
        <w:t>
      3) выявление областей, требующих улучшения.</w:t>
      </w:r>
    </w:p>
    <w:bookmarkEnd w:id="1891"/>
    <w:bookmarkStart w:name="z5279" w:id="1892"/>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1892"/>
    <w:bookmarkStart w:name="z5280" w:id="1893"/>
    <w:p>
      <w:pPr>
        <w:spacing w:after="0"/>
        <w:ind w:left="0"/>
        <w:jc w:val="both"/>
      </w:pPr>
      <w:r>
        <w:rPr>
          <w:rFonts w:ascii="Times New Roman"/>
          <w:b w:val="false"/>
          <w:i w:val="false"/>
          <w:color w:val="000000"/>
          <w:sz w:val="28"/>
        </w:rPr>
        <w:t>
      4) корректирующие действия.</w:t>
      </w:r>
    </w:p>
    <w:bookmarkEnd w:id="1893"/>
    <w:bookmarkStart w:name="z5281" w:id="1894"/>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1894"/>
    <w:bookmarkStart w:name="z5282" w:id="1895"/>
    <w:p>
      <w:pPr>
        <w:spacing w:after="0"/>
        <w:ind w:left="0"/>
        <w:jc w:val="left"/>
      </w:pPr>
      <w:r>
        <w:rPr>
          <w:rFonts w:ascii="Times New Roman"/>
          <w:b/>
          <w:i w:val="false"/>
          <w:color w:val="000000"/>
        </w:rPr>
        <w:t xml:space="preserve"> Глава 3 Информация о ВПОДЛ</w:t>
      </w:r>
    </w:p>
    <w:bookmarkEnd w:id="1895"/>
    <w:bookmarkStart w:name="z5283" w:id="1896"/>
    <w:p>
      <w:pPr>
        <w:spacing w:after="0"/>
        <w:ind w:left="0"/>
        <w:jc w:val="both"/>
      </w:pPr>
      <w:r>
        <w:rPr>
          <w:rFonts w:ascii="Times New Roman"/>
          <w:b w:val="false"/>
          <w:i w:val="false"/>
          <w:color w:val="000000"/>
          <w:sz w:val="28"/>
        </w:rPr>
        <w:t>
      12. Информация о ВПОДЛ включает, но не ограничиваясь, следующие разделы:</w:t>
      </w:r>
    </w:p>
    <w:bookmarkEnd w:id="1896"/>
    <w:bookmarkStart w:name="z5284" w:id="1897"/>
    <w:p>
      <w:pPr>
        <w:spacing w:after="0"/>
        <w:ind w:left="0"/>
        <w:jc w:val="both"/>
      </w:pPr>
      <w:r>
        <w:rPr>
          <w:rFonts w:ascii="Times New Roman"/>
          <w:b w:val="false"/>
          <w:i w:val="false"/>
          <w:color w:val="000000"/>
          <w:sz w:val="28"/>
        </w:rPr>
        <w:t>
      1) общая система ВПОДЛ;</w:t>
      </w:r>
    </w:p>
    <w:bookmarkEnd w:id="1897"/>
    <w:bookmarkStart w:name="z5285" w:id="1898"/>
    <w:p>
      <w:pPr>
        <w:spacing w:after="0"/>
        <w:ind w:left="0"/>
        <w:jc w:val="both"/>
      </w:pPr>
      <w:r>
        <w:rPr>
          <w:rFonts w:ascii="Times New Roman"/>
          <w:b w:val="false"/>
          <w:i w:val="false"/>
          <w:color w:val="000000"/>
          <w:sz w:val="28"/>
        </w:rPr>
        <w:t>
      2) выявление, оценка, мониторинг и контроль риска ликвидности;</w:t>
      </w:r>
    </w:p>
    <w:bookmarkEnd w:id="1898"/>
    <w:bookmarkStart w:name="z5286" w:id="1899"/>
    <w:p>
      <w:pPr>
        <w:spacing w:after="0"/>
        <w:ind w:left="0"/>
        <w:jc w:val="both"/>
      </w:pPr>
      <w:r>
        <w:rPr>
          <w:rFonts w:ascii="Times New Roman"/>
          <w:b w:val="false"/>
          <w:i w:val="false"/>
          <w:color w:val="000000"/>
          <w:sz w:val="28"/>
        </w:rPr>
        <w:t>
      3) стратегия фондирования и план финансирования на случай непредвиденных обстоятельств;</w:t>
      </w:r>
    </w:p>
    <w:bookmarkEnd w:id="1899"/>
    <w:bookmarkStart w:name="z5287" w:id="1900"/>
    <w:p>
      <w:pPr>
        <w:spacing w:after="0"/>
        <w:ind w:left="0"/>
        <w:jc w:val="both"/>
      </w:pPr>
      <w:r>
        <w:rPr>
          <w:rFonts w:ascii="Times New Roman"/>
          <w:b w:val="false"/>
          <w:i w:val="false"/>
          <w:color w:val="000000"/>
          <w:sz w:val="28"/>
        </w:rPr>
        <w:t>
      4) управление буфером ликвидности и залоговым обеспечением;</w:t>
      </w:r>
    </w:p>
    <w:bookmarkEnd w:id="1900"/>
    <w:bookmarkStart w:name="z5288" w:id="1901"/>
    <w:p>
      <w:pPr>
        <w:spacing w:after="0"/>
        <w:ind w:left="0"/>
        <w:jc w:val="both"/>
      </w:pPr>
      <w:r>
        <w:rPr>
          <w:rFonts w:ascii="Times New Roman"/>
          <w:b w:val="false"/>
          <w:i w:val="false"/>
          <w:color w:val="000000"/>
          <w:sz w:val="28"/>
        </w:rPr>
        <w:t>
      5) стресс-тестирование;</w:t>
      </w:r>
    </w:p>
    <w:bookmarkEnd w:id="1901"/>
    <w:bookmarkStart w:name="z5289" w:id="1902"/>
    <w:p>
      <w:pPr>
        <w:spacing w:after="0"/>
        <w:ind w:left="0"/>
        <w:jc w:val="both"/>
      </w:pPr>
      <w:r>
        <w:rPr>
          <w:rFonts w:ascii="Times New Roman"/>
          <w:b w:val="false"/>
          <w:i w:val="false"/>
          <w:color w:val="000000"/>
          <w:sz w:val="28"/>
        </w:rPr>
        <w:t>
      6) самооценка.</w:t>
      </w:r>
    </w:p>
    <w:bookmarkEnd w:id="1902"/>
    <w:bookmarkStart w:name="z5290" w:id="1903"/>
    <w:p>
      <w:pPr>
        <w:spacing w:after="0"/>
        <w:ind w:left="0"/>
        <w:jc w:val="both"/>
      </w:pPr>
      <w:r>
        <w:rPr>
          <w:rFonts w:ascii="Times New Roman"/>
          <w:b w:val="false"/>
          <w:i w:val="false"/>
          <w:color w:val="000000"/>
          <w:sz w:val="28"/>
        </w:rPr>
        <w:t>
      13. Раздел "Общая система ВПОДЛ" содержит, но не ограничиваясь, следующие подразделы:</w:t>
      </w:r>
    </w:p>
    <w:bookmarkEnd w:id="1903"/>
    <w:bookmarkStart w:name="z5291" w:id="1904"/>
    <w:p>
      <w:pPr>
        <w:spacing w:after="0"/>
        <w:ind w:left="0"/>
        <w:jc w:val="both"/>
      </w:pPr>
      <w:r>
        <w:rPr>
          <w:rFonts w:ascii="Times New Roman"/>
          <w:b w:val="false"/>
          <w:i w:val="false"/>
          <w:color w:val="000000"/>
          <w:sz w:val="28"/>
        </w:rPr>
        <w:t>
      цели и области применения ВПОДЛ;</w:t>
      </w:r>
    </w:p>
    <w:bookmarkEnd w:id="1904"/>
    <w:bookmarkStart w:name="z5292" w:id="1905"/>
    <w:p>
      <w:pPr>
        <w:spacing w:after="0"/>
        <w:ind w:left="0"/>
        <w:jc w:val="both"/>
      </w:pPr>
      <w:r>
        <w:rPr>
          <w:rFonts w:ascii="Times New Roman"/>
          <w:b w:val="false"/>
          <w:i w:val="false"/>
          <w:color w:val="000000"/>
          <w:sz w:val="28"/>
        </w:rPr>
        <w:t>
      сведения о процессах ВПОДЛ, которые заполняются в соответствии с Таблицей 9 приложения к Структуре.</w:t>
      </w:r>
    </w:p>
    <w:bookmarkEnd w:id="1905"/>
    <w:bookmarkStart w:name="z5293" w:id="1906"/>
    <w:p>
      <w:pPr>
        <w:spacing w:after="0"/>
        <w:ind w:left="0"/>
        <w:jc w:val="both"/>
      </w:pPr>
      <w:r>
        <w:rPr>
          <w:rFonts w:ascii="Times New Roman"/>
          <w:b w:val="false"/>
          <w:i w:val="false"/>
          <w:color w:val="000000"/>
          <w:sz w:val="28"/>
        </w:rPr>
        <w:t>
      14. Раздел "Выявление, оценка, мониторинг и контроль риска ликвидности" содержит, но не ограничиваясь, следующие подразделы:</w:t>
      </w:r>
    </w:p>
    <w:bookmarkEnd w:id="1906"/>
    <w:bookmarkStart w:name="z5294" w:id="1907"/>
    <w:p>
      <w:pPr>
        <w:spacing w:after="0"/>
        <w:ind w:left="0"/>
        <w:jc w:val="both"/>
      </w:pPr>
      <w:r>
        <w:rPr>
          <w:rFonts w:ascii="Times New Roman"/>
          <w:b w:val="false"/>
          <w:i w:val="false"/>
          <w:color w:val="000000"/>
          <w:sz w:val="28"/>
        </w:rPr>
        <w:t>
      1) выявление и оценка риска ликвидности.</w:t>
      </w:r>
    </w:p>
    <w:bookmarkEnd w:id="1907"/>
    <w:bookmarkStart w:name="z5295" w:id="1908"/>
    <w:p>
      <w:pPr>
        <w:spacing w:after="0"/>
        <w:ind w:left="0"/>
        <w:jc w:val="both"/>
      </w:pPr>
      <w:r>
        <w:rPr>
          <w:rFonts w:ascii="Times New Roman"/>
          <w:b w:val="false"/>
          <w:i w:val="false"/>
          <w:color w:val="000000"/>
          <w:sz w:val="28"/>
        </w:rPr>
        <w:t>
      Информация о выявлении и оценке риска ликвидности содержит, но не ограничиваясь, следующее описание:</w:t>
      </w:r>
    </w:p>
    <w:bookmarkEnd w:id="1908"/>
    <w:bookmarkStart w:name="z5296" w:id="1909"/>
    <w:p>
      <w:pPr>
        <w:spacing w:after="0"/>
        <w:ind w:left="0"/>
        <w:jc w:val="both"/>
      </w:pPr>
      <w:r>
        <w:rPr>
          <w:rFonts w:ascii="Times New Roman"/>
          <w:b w:val="false"/>
          <w:i w:val="false"/>
          <w:color w:val="000000"/>
          <w:sz w:val="28"/>
        </w:rPr>
        <w:t>
      методологии выявления риска ликвидности;</w:t>
      </w:r>
    </w:p>
    <w:bookmarkEnd w:id="1909"/>
    <w:bookmarkStart w:name="z5297" w:id="1910"/>
    <w:p>
      <w:pPr>
        <w:spacing w:after="0"/>
        <w:ind w:left="0"/>
        <w:jc w:val="both"/>
      </w:pPr>
      <w:r>
        <w:rPr>
          <w:rFonts w:ascii="Times New Roman"/>
          <w:b w:val="false"/>
          <w:i w:val="false"/>
          <w:color w:val="000000"/>
          <w:sz w:val="28"/>
        </w:rPr>
        <w:t>
      методологии оценки рисков, в том числе с использованием количественных и качественных методов;</w:t>
      </w:r>
    </w:p>
    <w:bookmarkEnd w:id="1910"/>
    <w:bookmarkStart w:name="z5298" w:id="1911"/>
    <w:p>
      <w:pPr>
        <w:spacing w:after="0"/>
        <w:ind w:left="0"/>
        <w:jc w:val="both"/>
      </w:pPr>
      <w:r>
        <w:rPr>
          <w:rFonts w:ascii="Times New Roman"/>
          <w:b w:val="false"/>
          <w:i w:val="false"/>
          <w:color w:val="000000"/>
          <w:sz w:val="28"/>
        </w:rPr>
        <w:t>
      процесса прогнозирование денежных потоков по активам, обязательствам и внебалансовым инструментам на разных временных горизонтах;</w:t>
      </w:r>
    </w:p>
    <w:bookmarkEnd w:id="1911"/>
    <w:bookmarkStart w:name="z5299" w:id="1912"/>
    <w:p>
      <w:pPr>
        <w:spacing w:after="0"/>
        <w:ind w:left="0"/>
        <w:jc w:val="both"/>
      </w:pPr>
      <w:r>
        <w:rPr>
          <w:rFonts w:ascii="Times New Roman"/>
          <w:b w:val="false"/>
          <w:i w:val="false"/>
          <w:color w:val="000000"/>
          <w:sz w:val="28"/>
        </w:rPr>
        <w:t>
      описание функций и обязанностей подразделений в рамках процесса выявления и оценки рисков ликвидности;</w:t>
      </w:r>
    </w:p>
    <w:bookmarkEnd w:id="1912"/>
    <w:bookmarkStart w:name="z5300" w:id="1913"/>
    <w:p>
      <w:pPr>
        <w:spacing w:after="0"/>
        <w:ind w:left="0"/>
        <w:jc w:val="both"/>
      </w:pPr>
      <w:r>
        <w:rPr>
          <w:rFonts w:ascii="Times New Roman"/>
          <w:b w:val="false"/>
          <w:i w:val="false"/>
          <w:color w:val="000000"/>
          <w:sz w:val="28"/>
        </w:rPr>
        <w:t>
      2) мониторинг и контроль.</w:t>
      </w:r>
    </w:p>
    <w:bookmarkEnd w:id="1913"/>
    <w:bookmarkStart w:name="z5301" w:id="1914"/>
    <w:p>
      <w:pPr>
        <w:spacing w:after="0"/>
        <w:ind w:left="0"/>
        <w:jc w:val="both"/>
      </w:pPr>
      <w:r>
        <w:rPr>
          <w:rFonts w:ascii="Times New Roman"/>
          <w:b w:val="false"/>
          <w:i w:val="false"/>
          <w:color w:val="000000"/>
          <w:sz w:val="28"/>
        </w:rPr>
        <w:t>
      Информация о мониторинге и контроле риска ликвидности содержит, но не ограничиваясь, следующее описание:</w:t>
      </w:r>
    </w:p>
    <w:bookmarkEnd w:id="1914"/>
    <w:bookmarkStart w:name="z5302" w:id="1915"/>
    <w:p>
      <w:pPr>
        <w:spacing w:after="0"/>
        <w:ind w:left="0"/>
        <w:jc w:val="both"/>
      </w:pPr>
      <w:r>
        <w:rPr>
          <w:rFonts w:ascii="Times New Roman"/>
          <w:b w:val="false"/>
          <w:i w:val="false"/>
          <w:color w:val="000000"/>
          <w:sz w:val="28"/>
        </w:rPr>
        <w:t>
      процессов контроля и мониторинга рисков ликвидности на разных временных горизонтах с указанием функций и обязанностей подразделений банка;</w:t>
      </w:r>
    </w:p>
    <w:bookmarkEnd w:id="1915"/>
    <w:bookmarkStart w:name="z5303" w:id="1916"/>
    <w:p>
      <w:pPr>
        <w:spacing w:after="0"/>
        <w:ind w:left="0"/>
        <w:jc w:val="both"/>
      </w:pPr>
      <w:r>
        <w:rPr>
          <w:rFonts w:ascii="Times New Roman"/>
          <w:b w:val="false"/>
          <w:i w:val="false"/>
          <w:color w:val="000000"/>
          <w:sz w:val="28"/>
        </w:rPr>
        <w:t>
      индикаторов раннего предупреждения;</w:t>
      </w:r>
    </w:p>
    <w:bookmarkEnd w:id="1916"/>
    <w:bookmarkStart w:name="z5304" w:id="1917"/>
    <w:p>
      <w:pPr>
        <w:spacing w:after="0"/>
        <w:ind w:left="0"/>
        <w:jc w:val="both"/>
      </w:pPr>
      <w:r>
        <w:rPr>
          <w:rFonts w:ascii="Times New Roman"/>
          <w:b w:val="false"/>
          <w:i w:val="false"/>
          <w:color w:val="000000"/>
          <w:sz w:val="28"/>
        </w:rPr>
        <w:t>
      используемых инструментов контроля, мониторинга и смягчения риска ликвидности на разных временных горизонтах;</w:t>
      </w:r>
    </w:p>
    <w:bookmarkEnd w:id="1917"/>
    <w:bookmarkStart w:name="z5305" w:id="1918"/>
    <w:p>
      <w:pPr>
        <w:spacing w:after="0"/>
        <w:ind w:left="0"/>
        <w:jc w:val="both"/>
      </w:pPr>
      <w:r>
        <w:rPr>
          <w:rFonts w:ascii="Times New Roman"/>
          <w:b w:val="false"/>
          <w:i w:val="false"/>
          <w:color w:val="000000"/>
          <w:sz w:val="28"/>
        </w:rPr>
        <w:t>
      процедур управления внутридневным риском ликвидности;</w:t>
      </w:r>
    </w:p>
    <w:bookmarkEnd w:id="1918"/>
    <w:bookmarkStart w:name="z5306" w:id="1919"/>
    <w:p>
      <w:pPr>
        <w:spacing w:after="0"/>
        <w:ind w:left="0"/>
        <w:jc w:val="both"/>
      </w:pPr>
      <w:r>
        <w:rPr>
          <w:rFonts w:ascii="Times New Roman"/>
          <w:b w:val="false"/>
          <w:i w:val="false"/>
          <w:color w:val="000000"/>
          <w:sz w:val="28"/>
        </w:rPr>
        <w:t>
      объемов принимаемых рисков с указанием установленных лимитов по риску ликвидности.</w:t>
      </w:r>
    </w:p>
    <w:bookmarkEnd w:id="1919"/>
    <w:bookmarkStart w:name="z5307" w:id="1920"/>
    <w:p>
      <w:pPr>
        <w:spacing w:after="0"/>
        <w:ind w:left="0"/>
        <w:jc w:val="both"/>
      </w:pPr>
      <w:r>
        <w:rPr>
          <w:rFonts w:ascii="Times New Roman"/>
          <w:b w:val="false"/>
          <w:i w:val="false"/>
          <w:color w:val="000000"/>
          <w:sz w:val="28"/>
        </w:rPr>
        <w:t>
      15. Раздел "Стратегия фондирования и план финансирования на случай непредвиденных обстоятельств" содержит, но не ограничиваясь, следующие подразделы:</w:t>
      </w:r>
    </w:p>
    <w:bookmarkEnd w:id="1920"/>
    <w:bookmarkStart w:name="z5308" w:id="1921"/>
    <w:p>
      <w:pPr>
        <w:spacing w:after="0"/>
        <w:ind w:left="0"/>
        <w:jc w:val="both"/>
      </w:pPr>
      <w:r>
        <w:rPr>
          <w:rFonts w:ascii="Times New Roman"/>
          <w:b w:val="false"/>
          <w:i w:val="false"/>
          <w:color w:val="000000"/>
          <w:sz w:val="28"/>
        </w:rPr>
        <w:t>
      1) стратегия фондирования.</w:t>
      </w:r>
    </w:p>
    <w:bookmarkEnd w:id="1921"/>
    <w:bookmarkStart w:name="z5309" w:id="1922"/>
    <w:p>
      <w:pPr>
        <w:spacing w:after="0"/>
        <w:ind w:left="0"/>
        <w:jc w:val="both"/>
      </w:pPr>
      <w:r>
        <w:rPr>
          <w:rFonts w:ascii="Times New Roman"/>
          <w:b w:val="false"/>
          <w:i w:val="false"/>
          <w:color w:val="000000"/>
          <w:sz w:val="28"/>
        </w:rPr>
        <w:t>
      Информация о стратегии фондирования содержит, но не ограничиваясь, следующее описание:</w:t>
      </w:r>
    </w:p>
    <w:bookmarkEnd w:id="1922"/>
    <w:bookmarkStart w:name="z5310" w:id="1923"/>
    <w:p>
      <w:pPr>
        <w:spacing w:after="0"/>
        <w:ind w:left="0"/>
        <w:jc w:val="both"/>
      </w:pPr>
      <w:r>
        <w:rPr>
          <w:rFonts w:ascii="Times New Roman"/>
          <w:b w:val="false"/>
          <w:i w:val="false"/>
          <w:color w:val="000000"/>
          <w:sz w:val="28"/>
        </w:rPr>
        <w:t>
      видов источников фондирования в разрезе продуктов, инструментов, рынков;</w:t>
      </w:r>
    </w:p>
    <w:bookmarkEnd w:id="1923"/>
    <w:bookmarkStart w:name="z5311" w:id="1924"/>
    <w:p>
      <w:pPr>
        <w:spacing w:after="0"/>
        <w:ind w:left="0"/>
        <w:jc w:val="both"/>
      </w:pPr>
      <w:r>
        <w:rPr>
          <w:rFonts w:ascii="Times New Roman"/>
          <w:b w:val="false"/>
          <w:i w:val="false"/>
          <w:color w:val="000000"/>
          <w:sz w:val="28"/>
        </w:rPr>
        <w:t>
      основных факторов, влияющих на возможность по привлечению фондирования;</w:t>
      </w:r>
    </w:p>
    <w:bookmarkEnd w:id="1924"/>
    <w:bookmarkStart w:name="z5312" w:id="1925"/>
    <w:p>
      <w:pPr>
        <w:spacing w:after="0"/>
        <w:ind w:left="0"/>
        <w:jc w:val="both"/>
      </w:pPr>
      <w:r>
        <w:rPr>
          <w:rFonts w:ascii="Times New Roman"/>
          <w:b w:val="false"/>
          <w:i w:val="false"/>
          <w:color w:val="000000"/>
          <w:sz w:val="28"/>
        </w:rPr>
        <w:t>
      альтернативных источников фондирования;</w:t>
      </w:r>
    </w:p>
    <w:bookmarkEnd w:id="1925"/>
    <w:bookmarkStart w:name="z5313" w:id="1926"/>
    <w:p>
      <w:pPr>
        <w:spacing w:after="0"/>
        <w:ind w:left="0"/>
        <w:jc w:val="both"/>
      </w:pPr>
      <w:r>
        <w:rPr>
          <w:rFonts w:ascii="Times New Roman"/>
          <w:b w:val="false"/>
          <w:i w:val="false"/>
          <w:color w:val="000000"/>
          <w:sz w:val="28"/>
        </w:rPr>
        <w:t>
      оценки своих возможностей по привлечению фондирования, в том числе с указанием:</w:t>
      </w:r>
    </w:p>
    <w:bookmarkEnd w:id="1926"/>
    <w:bookmarkStart w:name="z5314" w:id="1927"/>
    <w:p>
      <w:pPr>
        <w:spacing w:after="0"/>
        <w:ind w:left="0"/>
        <w:jc w:val="both"/>
      </w:pPr>
      <w:r>
        <w:rPr>
          <w:rFonts w:ascii="Times New Roman"/>
          <w:b w:val="false"/>
          <w:i w:val="false"/>
          <w:color w:val="000000"/>
          <w:sz w:val="28"/>
        </w:rPr>
        <w:t>
      количественного обзора привлеченных средств;</w:t>
      </w:r>
    </w:p>
    <w:bookmarkEnd w:id="1927"/>
    <w:bookmarkStart w:name="z5315" w:id="1928"/>
    <w:p>
      <w:pPr>
        <w:spacing w:after="0"/>
        <w:ind w:left="0"/>
        <w:jc w:val="both"/>
      </w:pPr>
      <w:r>
        <w:rPr>
          <w:rFonts w:ascii="Times New Roman"/>
          <w:b w:val="false"/>
          <w:i w:val="false"/>
          <w:color w:val="000000"/>
          <w:sz w:val="28"/>
        </w:rPr>
        <w:t>
      основных рынков и используемых продуктов;</w:t>
      </w:r>
    </w:p>
    <w:bookmarkEnd w:id="1928"/>
    <w:bookmarkStart w:name="z5316" w:id="1929"/>
    <w:p>
      <w:pPr>
        <w:spacing w:after="0"/>
        <w:ind w:left="0"/>
        <w:jc w:val="both"/>
      </w:pPr>
      <w:r>
        <w:rPr>
          <w:rFonts w:ascii="Times New Roman"/>
          <w:b w:val="false"/>
          <w:i w:val="false"/>
          <w:color w:val="000000"/>
          <w:sz w:val="28"/>
        </w:rPr>
        <w:t>
      обзора запланированных оттоков денежных средств с указанием сроков погашения обязательства;</w:t>
      </w:r>
    </w:p>
    <w:bookmarkEnd w:id="1929"/>
    <w:bookmarkStart w:name="z5317" w:id="1930"/>
    <w:p>
      <w:pPr>
        <w:spacing w:after="0"/>
        <w:ind w:left="0"/>
        <w:jc w:val="both"/>
      </w:pPr>
      <w:r>
        <w:rPr>
          <w:rFonts w:ascii="Times New Roman"/>
          <w:b w:val="false"/>
          <w:i w:val="false"/>
          <w:color w:val="000000"/>
          <w:sz w:val="28"/>
        </w:rPr>
        <w:t>
      2) план финансирования на случай непредвиденных обстоятельств.</w:t>
      </w:r>
    </w:p>
    <w:bookmarkEnd w:id="1930"/>
    <w:bookmarkStart w:name="z5318" w:id="1931"/>
    <w:p>
      <w:pPr>
        <w:spacing w:after="0"/>
        <w:ind w:left="0"/>
        <w:jc w:val="both"/>
      </w:pPr>
      <w:r>
        <w:rPr>
          <w:rFonts w:ascii="Times New Roman"/>
          <w:b w:val="false"/>
          <w:i w:val="false"/>
          <w:color w:val="000000"/>
          <w:sz w:val="28"/>
        </w:rPr>
        <w:t>
      Информация о плане финансирования на случай непредвиденных обстоятельств содержит, но не ограничиваясь, следующее описание:</w:t>
      </w:r>
    </w:p>
    <w:bookmarkEnd w:id="1931"/>
    <w:bookmarkStart w:name="z5319" w:id="1932"/>
    <w:p>
      <w:pPr>
        <w:spacing w:after="0"/>
        <w:ind w:left="0"/>
        <w:jc w:val="both"/>
      </w:pPr>
      <w:r>
        <w:rPr>
          <w:rFonts w:ascii="Times New Roman"/>
          <w:b w:val="false"/>
          <w:i w:val="false"/>
          <w:color w:val="000000"/>
          <w:sz w:val="28"/>
        </w:rPr>
        <w:t>
      источников финансирования на случай непредвиденных обстоятельств;</w:t>
      </w:r>
    </w:p>
    <w:bookmarkEnd w:id="1932"/>
    <w:bookmarkStart w:name="z5320" w:id="1933"/>
    <w:p>
      <w:pPr>
        <w:spacing w:after="0"/>
        <w:ind w:left="0"/>
        <w:jc w:val="both"/>
      </w:pPr>
      <w:r>
        <w:rPr>
          <w:rFonts w:ascii="Times New Roman"/>
          <w:b w:val="false"/>
          <w:i w:val="false"/>
          <w:color w:val="000000"/>
          <w:sz w:val="28"/>
        </w:rPr>
        <w:t>
      времени, необходимого для привлечения дополнительных средств от каждого из источников финансирования непредвиденных обстоятельств;</w:t>
      </w:r>
    </w:p>
    <w:bookmarkEnd w:id="1933"/>
    <w:bookmarkStart w:name="z5321" w:id="1934"/>
    <w:p>
      <w:pPr>
        <w:spacing w:after="0"/>
        <w:ind w:left="0"/>
        <w:jc w:val="both"/>
      </w:pPr>
      <w:r>
        <w:rPr>
          <w:rFonts w:ascii="Times New Roman"/>
          <w:b w:val="false"/>
          <w:i w:val="false"/>
          <w:color w:val="000000"/>
          <w:sz w:val="28"/>
        </w:rPr>
        <w:t>
      порядка, разработки плана финансирования на случай непредвиденных обстоятельств с указанием ответственных лиц;</w:t>
      </w:r>
    </w:p>
    <w:bookmarkEnd w:id="1934"/>
    <w:bookmarkStart w:name="z5322" w:id="1935"/>
    <w:p>
      <w:pPr>
        <w:spacing w:after="0"/>
        <w:ind w:left="0"/>
        <w:jc w:val="both"/>
      </w:pPr>
      <w:r>
        <w:rPr>
          <w:rFonts w:ascii="Times New Roman"/>
          <w:b w:val="false"/>
          <w:i w:val="false"/>
          <w:color w:val="000000"/>
          <w:sz w:val="28"/>
        </w:rPr>
        <w:t>
      алгоритма действий ответственных лиц по реализации плана финансирования на случай непредвиденных обстоятельств;</w:t>
      </w:r>
    </w:p>
    <w:bookmarkEnd w:id="1935"/>
    <w:bookmarkStart w:name="z5323" w:id="1936"/>
    <w:p>
      <w:pPr>
        <w:spacing w:after="0"/>
        <w:ind w:left="0"/>
        <w:jc w:val="both"/>
      </w:pPr>
      <w:r>
        <w:rPr>
          <w:rFonts w:ascii="Times New Roman"/>
          <w:b w:val="false"/>
          <w:i w:val="false"/>
          <w:color w:val="000000"/>
          <w:sz w:val="28"/>
        </w:rPr>
        <w:t>
      результатов тестирования плана финансирования на случай непредвиденных обстоятельств и сведений по обновлению.</w:t>
      </w:r>
    </w:p>
    <w:bookmarkEnd w:id="1936"/>
    <w:bookmarkStart w:name="z5324" w:id="1937"/>
    <w:p>
      <w:pPr>
        <w:spacing w:after="0"/>
        <w:ind w:left="0"/>
        <w:jc w:val="both"/>
      </w:pPr>
      <w:r>
        <w:rPr>
          <w:rFonts w:ascii="Times New Roman"/>
          <w:b w:val="false"/>
          <w:i w:val="false"/>
          <w:color w:val="000000"/>
          <w:sz w:val="28"/>
        </w:rPr>
        <w:t>
      16. Раздел "Управление буферами ликвидности и залоговым обеспечением" содержит, но не ограничиваясь, следующие подразделы:</w:t>
      </w:r>
    </w:p>
    <w:bookmarkEnd w:id="1937"/>
    <w:bookmarkStart w:name="z5325" w:id="1938"/>
    <w:p>
      <w:pPr>
        <w:spacing w:after="0"/>
        <w:ind w:left="0"/>
        <w:jc w:val="both"/>
      </w:pPr>
      <w:r>
        <w:rPr>
          <w:rFonts w:ascii="Times New Roman"/>
          <w:b w:val="false"/>
          <w:i w:val="false"/>
          <w:color w:val="000000"/>
          <w:sz w:val="28"/>
        </w:rPr>
        <w:t>
      1) буфер ликвидности.</w:t>
      </w:r>
    </w:p>
    <w:bookmarkEnd w:id="1938"/>
    <w:bookmarkStart w:name="z5326" w:id="1939"/>
    <w:p>
      <w:pPr>
        <w:spacing w:after="0"/>
        <w:ind w:left="0"/>
        <w:jc w:val="both"/>
      </w:pPr>
      <w:r>
        <w:rPr>
          <w:rFonts w:ascii="Times New Roman"/>
          <w:b w:val="false"/>
          <w:i w:val="false"/>
          <w:color w:val="000000"/>
          <w:sz w:val="28"/>
        </w:rPr>
        <w:t>
      Банк описывает количественное выражение необходимого объема высоколиквидных активов, который считается достаточным для выполнения потребностей в ликвидности, в том числе в условиях стресса, а также количественное выражение существующего буфера ликвидности.</w:t>
      </w:r>
    </w:p>
    <w:bookmarkEnd w:id="1939"/>
    <w:bookmarkStart w:name="z5327" w:id="1940"/>
    <w:p>
      <w:pPr>
        <w:spacing w:after="0"/>
        <w:ind w:left="0"/>
        <w:jc w:val="both"/>
      </w:pPr>
      <w:r>
        <w:rPr>
          <w:rFonts w:ascii="Times New Roman"/>
          <w:b w:val="false"/>
          <w:i w:val="false"/>
          <w:color w:val="000000"/>
          <w:sz w:val="28"/>
        </w:rPr>
        <w:t>
      Информация о буфере ликвидности содержит, но не ограничиваясь, следующее:</w:t>
      </w:r>
    </w:p>
    <w:bookmarkEnd w:id="1940"/>
    <w:bookmarkStart w:name="z5328" w:id="1941"/>
    <w:p>
      <w:pPr>
        <w:spacing w:after="0"/>
        <w:ind w:left="0"/>
        <w:jc w:val="both"/>
      </w:pPr>
      <w:r>
        <w:rPr>
          <w:rFonts w:ascii="Times New Roman"/>
          <w:b w:val="false"/>
          <w:i w:val="false"/>
          <w:color w:val="000000"/>
          <w:sz w:val="28"/>
        </w:rPr>
        <w:t>
      методологию и допущения для расчета необходимого запаса ликвидности;</w:t>
      </w:r>
    </w:p>
    <w:bookmarkEnd w:id="1941"/>
    <w:bookmarkStart w:name="z5329" w:id="1942"/>
    <w:p>
      <w:pPr>
        <w:spacing w:after="0"/>
        <w:ind w:left="0"/>
        <w:jc w:val="both"/>
      </w:pPr>
      <w:r>
        <w:rPr>
          <w:rFonts w:ascii="Times New Roman"/>
          <w:b w:val="false"/>
          <w:i w:val="false"/>
          <w:color w:val="000000"/>
          <w:sz w:val="28"/>
        </w:rPr>
        <w:t>
      определение, применяемое банком в отношении высококачественных ликвидных активов и их состав;</w:t>
      </w:r>
    </w:p>
    <w:bookmarkEnd w:id="1942"/>
    <w:bookmarkStart w:name="z5330" w:id="1943"/>
    <w:p>
      <w:pPr>
        <w:spacing w:after="0"/>
        <w:ind w:left="0"/>
        <w:jc w:val="both"/>
      </w:pPr>
      <w:r>
        <w:rPr>
          <w:rFonts w:ascii="Times New Roman"/>
          <w:b w:val="false"/>
          <w:i w:val="false"/>
          <w:color w:val="000000"/>
          <w:sz w:val="28"/>
        </w:rPr>
        <w:t>
      критерии определения ликвидной стоимости активов;</w:t>
      </w:r>
    </w:p>
    <w:bookmarkEnd w:id="1943"/>
    <w:bookmarkStart w:name="z5331" w:id="1944"/>
    <w:p>
      <w:pPr>
        <w:spacing w:after="0"/>
        <w:ind w:left="0"/>
        <w:jc w:val="both"/>
      </w:pPr>
      <w:r>
        <w:rPr>
          <w:rFonts w:ascii="Times New Roman"/>
          <w:b w:val="false"/>
          <w:i w:val="false"/>
          <w:color w:val="000000"/>
          <w:sz w:val="28"/>
        </w:rPr>
        <w:t>
      описание управления риском концентрации в рамках буфера ликвидности;</w:t>
      </w:r>
    </w:p>
    <w:bookmarkEnd w:id="1944"/>
    <w:bookmarkStart w:name="z5332" w:id="1945"/>
    <w:p>
      <w:pPr>
        <w:spacing w:after="0"/>
        <w:ind w:left="0"/>
        <w:jc w:val="both"/>
      </w:pPr>
      <w:r>
        <w:rPr>
          <w:rFonts w:ascii="Times New Roman"/>
          <w:b w:val="false"/>
          <w:i w:val="false"/>
          <w:color w:val="000000"/>
          <w:sz w:val="28"/>
        </w:rPr>
        <w:t>
      описание сопоставимости запаса ликвидности с установленным риск-аппетитом;</w:t>
      </w:r>
    </w:p>
    <w:bookmarkEnd w:id="1945"/>
    <w:bookmarkStart w:name="z5333" w:id="1946"/>
    <w:p>
      <w:pPr>
        <w:spacing w:after="0"/>
        <w:ind w:left="0"/>
        <w:jc w:val="both"/>
      </w:pPr>
      <w:r>
        <w:rPr>
          <w:rFonts w:ascii="Times New Roman"/>
          <w:b w:val="false"/>
          <w:i w:val="false"/>
          <w:color w:val="000000"/>
          <w:sz w:val="28"/>
        </w:rPr>
        <w:t>
      2) управление залоговым обеспечением.</w:t>
      </w:r>
    </w:p>
    <w:bookmarkEnd w:id="1946"/>
    <w:bookmarkStart w:name="z5334" w:id="1947"/>
    <w:p>
      <w:pPr>
        <w:spacing w:after="0"/>
        <w:ind w:left="0"/>
        <w:jc w:val="both"/>
      </w:pPr>
      <w:r>
        <w:rPr>
          <w:rFonts w:ascii="Times New Roman"/>
          <w:b w:val="false"/>
          <w:i w:val="false"/>
          <w:color w:val="000000"/>
          <w:sz w:val="28"/>
        </w:rPr>
        <w:t>
      Информация об управлении залоговым обеспечением содержит, но не ограничиваясь, следующее:</w:t>
      </w:r>
    </w:p>
    <w:bookmarkEnd w:id="1947"/>
    <w:bookmarkStart w:name="z5335" w:id="1948"/>
    <w:p>
      <w:pPr>
        <w:spacing w:after="0"/>
        <w:ind w:left="0"/>
        <w:jc w:val="both"/>
      </w:pPr>
      <w:r>
        <w:rPr>
          <w:rFonts w:ascii="Times New Roman"/>
          <w:b w:val="false"/>
          <w:i w:val="false"/>
          <w:color w:val="000000"/>
          <w:sz w:val="28"/>
        </w:rPr>
        <w:t>
      обзор методологии в отношении управления залоговым обеспечением с разделением между обремененными и необремененными активами, а также количественный обзор размера доступного обеспечения;</w:t>
      </w:r>
    </w:p>
    <w:bookmarkEnd w:id="1948"/>
    <w:bookmarkStart w:name="z5336" w:id="1949"/>
    <w:p>
      <w:pPr>
        <w:spacing w:after="0"/>
        <w:ind w:left="0"/>
        <w:jc w:val="both"/>
      </w:pPr>
      <w:r>
        <w:rPr>
          <w:rFonts w:ascii="Times New Roman"/>
          <w:b w:val="false"/>
          <w:i w:val="false"/>
          <w:color w:val="000000"/>
          <w:sz w:val="28"/>
        </w:rPr>
        <w:t>
      обзор мониторинга требований к залоговому обеспечению и предельных значений (при наличии), который учитывает любые дополнительные требования, которые возникают в результате потенциальных проблем с ликвидностью (например, изменения рыночного и (или) финансового положения, изменения кредитного рейтинга).</w:t>
      </w:r>
    </w:p>
    <w:bookmarkEnd w:id="1949"/>
    <w:bookmarkStart w:name="z5337" w:id="1950"/>
    <w:p>
      <w:pPr>
        <w:spacing w:after="0"/>
        <w:ind w:left="0"/>
        <w:jc w:val="both"/>
      </w:pPr>
      <w:r>
        <w:rPr>
          <w:rFonts w:ascii="Times New Roman"/>
          <w:b w:val="false"/>
          <w:i w:val="false"/>
          <w:color w:val="000000"/>
          <w:sz w:val="28"/>
        </w:rPr>
        <w:t>
      17. Раздел "Стресс-тестирование" содержит, но не ограничиваясь, следующие подразделы:</w:t>
      </w:r>
    </w:p>
    <w:bookmarkEnd w:id="1950"/>
    <w:bookmarkStart w:name="z5338" w:id="1951"/>
    <w:p>
      <w:pPr>
        <w:spacing w:after="0"/>
        <w:ind w:left="0"/>
        <w:jc w:val="both"/>
      </w:pPr>
      <w:r>
        <w:rPr>
          <w:rFonts w:ascii="Times New Roman"/>
          <w:b w:val="false"/>
          <w:i w:val="false"/>
          <w:color w:val="000000"/>
          <w:sz w:val="28"/>
        </w:rPr>
        <w:t>
      1) сценарии стресс-тестирования.</w:t>
      </w:r>
    </w:p>
    <w:bookmarkEnd w:id="1951"/>
    <w:bookmarkStart w:name="z5339" w:id="1952"/>
    <w:p>
      <w:pPr>
        <w:spacing w:after="0"/>
        <w:ind w:left="0"/>
        <w:jc w:val="both"/>
      </w:pPr>
      <w:r>
        <w:rPr>
          <w:rFonts w:ascii="Times New Roman"/>
          <w:b w:val="false"/>
          <w:i w:val="false"/>
          <w:color w:val="000000"/>
          <w:sz w:val="28"/>
        </w:rPr>
        <w:t>
      Информация о сценариях стресс-тестировании содержит, но не ограничиваясь, следующее:</w:t>
      </w:r>
    </w:p>
    <w:bookmarkEnd w:id="1952"/>
    <w:bookmarkStart w:name="z5340" w:id="1953"/>
    <w:p>
      <w:pPr>
        <w:spacing w:after="0"/>
        <w:ind w:left="0"/>
        <w:jc w:val="both"/>
      </w:pPr>
      <w:r>
        <w:rPr>
          <w:rFonts w:ascii="Times New Roman"/>
          <w:b w:val="false"/>
          <w:i w:val="false"/>
          <w:color w:val="000000"/>
          <w:sz w:val="28"/>
        </w:rPr>
        <w:t>
      описание методов и сценариев стресс-тестирования, их периодичность, методологию и используемые допущения;</w:t>
      </w:r>
    </w:p>
    <w:bookmarkEnd w:id="1953"/>
    <w:bookmarkStart w:name="z5341" w:id="1954"/>
    <w:p>
      <w:pPr>
        <w:spacing w:after="0"/>
        <w:ind w:left="0"/>
        <w:jc w:val="both"/>
      </w:pPr>
      <w:r>
        <w:rPr>
          <w:rFonts w:ascii="Times New Roman"/>
          <w:b w:val="false"/>
          <w:i w:val="false"/>
          <w:color w:val="000000"/>
          <w:sz w:val="28"/>
        </w:rPr>
        <w:t>
      обоснование причины выбора рассматриваемого сценария для проведения стресс-тестирования;</w:t>
      </w:r>
    </w:p>
    <w:bookmarkEnd w:id="1954"/>
    <w:bookmarkStart w:name="z5342" w:id="1955"/>
    <w:p>
      <w:pPr>
        <w:spacing w:after="0"/>
        <w:ind w:left="0"/>
        <w:jc w:val="both"/>
      </w:pPr>
      <w:r>
        <w:rPr>
          <w:rFonts w:ascii="Times New Roman"/>
          <w:b w:val="false"/>
          <w:i w:val="false"/>
          <w:color w:val="000000"/>
          <w:sz w:val="28"/>
        </w:rPr>
        <w:t>
      список основных финансовых и экономических факторов, учитываемых в рамках стресс-тестирования;</w:t>
      </w:r>
    </w:p>
    <w:bookmarkEnd w:id="1955"/>
    <w:bookmarkStart w:name="z5343" w:id="1956"/>
    <w:p>
      <w:pPr>
        <w:spacing w:after="0"/>
        <w:ind w:left="0"/>
        <w:jc w:val="both"/>
      </w:pPr>
      <w:r>
        <w:rPr>
          <w:rFonts w:ascii="Times New Roman"/>
          <w:b w:val="false"/>
          <w:i w:val="false"/>
          <w:color w:val="000000"/>
          <w:sz w:val="28"/>
        </w:rPr>
        <w:t>
      2) количественный и качественный анализ.</w:t>
      </w:r>
    </w:p>
    <w:bookmarkEnd w:id="1956"/>
    <w:bookmarkStart w:name="z5344" w:id="1957"/>
    <w:p>
      <w:pPr>
        <w:spacing w:after="0"/>
        <w:ind w:left="0"/>
        <w:jc w:val="both"/>
      </w:pPr>
      <w:r>
        <w:rPr>
          <w:rFonts w:ascii="Times New Roman"/>
          <w:b w:val="false"/>
          <w:i w:val="false"/>
          <w:color w:val="000000"/>
          <w:sz w:val="28"/>
        </w:rPr>
        <w:t>
      Информация о количественном и качественном анализе содержит, но не ограничиваясь, следующее описание:</w:t>
      </w:r>
    </w:p>
    <w:bookmarkEnd w:id="1957"/>
    <w:bookmarkStart w:name="z5345" w:id="1958"/>
    <w:p>
      <w:pPr>
        <w:spacing w:after="0"/>
        <w:ind w:left="0"/>
        <w:jc w:val="both"/>
      </w:pPr>
      <w:r>
        <w:rPr>
          <w:rFonts w:ascii="Times New Roman"/>
          <w:b w:val="false"/>
          <w:i w:val="false"/>
          <w:color w:val="000000"/>
          <w:sz w:val="28"/>
        </w:rPr>
        <w:t>
      количественного выражения воздействия результатов стресс-тестирования на показатели ликвидности и фондирования (с указанием воздействия на каждую риск-метрику);</w:t>
      </w:r>
    </w:p>
    <w:bookmarkEnd w:id="1958"/>
    <w:bookmarkStart w:name="z5346" w:id="1959"/>
    <w:p>
      <w:pPr>
        <w:spacing w:after="0"/>
        <w:ind w:left="0"/>
        <w:jc w:val="both"/>
      </w:pPr>
      <w:r>
        <w:rPr>
          <w:rFonts w:ascii="Times New Roman"/>
          <w:b w:val="false"/>
          <w:i w:val="false"/>
          <w:color w:val="000000"/>
          <w:sz w:val="28"/>
        </w:rPr>
        <w:t>
      интеграции результатов стресс-тестирования в процесс стратегического, бюджетного планирования и в процесс установления внутренних лимитов;</w:t>
      </w:r>
    </w:p>
    <w:bookmarkEnd w:id="1959"/>
    <w:bookmarkStart w:name="z5347" w:id="1960"/>
    <w:p>
      <w:pPr>
        <w:spacing w:after="0"/>
        <w:ind w:left="0"/>
        <w:jc w:val="both"/>
      </w:pPr>
      <w:r>
        <w:rPr>
          <w:rFonts w:ascii="Times New Roman"/>
          <w:b w:val="false"/>
          <w:i w:val="false"/>
          <w:color w:val="000000"/>
          <w:sz w:val="28"/>
        </w:rPr>
        <w:t>
      интеграции результатов стресс-тестирования в оценку и планирование плана финансирования на случай непредвиденных обстоятельств, в том числе в целях корректирования недостатков в плане финансирования на случай непредвиденных обстоятельств.</w:t>
      </w:r>
    </w:p>
    <w:bookmarkEnd w:id="1960"/>
    <w:bookmarkStart w:name="z5348" w:id="1961"/>
    <w:p>
      <w:pPr>
        <w:spacing w:after="0"/>
        <w:ind w:left="0"/>
        <w:jc w:val="both"/>
      </w:pPr>
      <w:r>
        <w:rPr>
          <w:rFonts w:ascii="Times New Roman"/>
          <w:b w:val="false"/>
          <w:i w:val="false"/>
          <w:color w:val="000000"/>
          <w:sz w:val="28"/>
        </w:rPr>
        <w:t>
      Сведения о результатах стресс-тестирования заполняются в соответствии с Таблицей 10 приложения к Структуре.</w:t>
      </w:r>
    </w:p>
    <w:bookmarkEnd w:id="1961"/>
    <w:bookmarkStart w:name="z5349" w:id="1962"/>
    <w:p>
      <w:pPr>
        <w:spacing w:after="0"/>
        <w:ind w:left="0"/>
        <w:jc w:val="both"/>
      </w:pPr>
      <w:r>
        <w:rPr>
          <w:rFonts w:ascii="Times New Roman"/>
          <w:b w:val="false"/>
          <w:i w:val="false"/>
          <w:color w:val="000000"/>
          <w:sz w:val="28"/>
        </w:rPr>
        <w:t>
      18. Раздел "Самооценка" содержит, но не ограничиваясь, следующие подразделы:</w:t>
      </w:r>
    </w:p>
    <w:bookmarkEnd w:id="1962"/>
    <w:bookmarkStart w:name="z5350" w:id="1963"/>
    <w:p>
      <w:pPr>
        <w:spacing w:after="0"/>
        <w:ind w:left="0"/>
        <w:jc w:val="both"/>
      </w:pPr>
      <w:r>
        <w:rPr>
          <w:rFonts w:ascii="Times New Roman"/>
          <w:b w:val="false"/>
          <w:i w:val="false"/>
          <w:color w:val="000000"/>
          <w:sz w:val="28"/>
        </w:rPr>
        <w:t>
      1) запланированные мероприятия.</w:t>
      </w:r>
    </w:p>
    <w:bookmarkEnd w:id="1963"/>
    <w:bookmarkStart w:name="z5351" w:id="1964"/>
    <w:p>
      <w:pPr>
        <w:spacing w:after="0"/>
        <w:ind w:left="0"/>
        <w:jc w:val="both"/>
      </w:pPr>
      <w:r>
        <w:rPr>
          <w:rFonts w:ascii="Times New Roman"/>
          <w:b w:val="false"/>
          <w:i w:val="false"/>
          <w:color w:val="000000"/>
          <w:sz w:val="28"/>
        </w:rPr>
        <w:t>
      Банк описывает мероприятия, запланированные на отчетный год по результатам проведенной самооценки, и соответствующие результаты принятых мер;</w:t>
      </w:r>
    </w:p>
    <w:bookmarkEnd w:id="1964"/>
    <w:bookmarkStart w:name="z5352" w:id="1965"/>
    <w:p>
      <w:pPr>
        <w:spacing w:after="0"/>
        <w:ind w:left="0"/>
        <w:jc w:val="both"/>
      </w:pPr>
      <w:r>
        <w:rPr>
          <w:rFonts w:ascii="Times New Roman"/>
          <w:b w:val="false"/>
          <w:i w:val="false"/>
          <w:color w:val="000000"/>
          <w:sz w:val="28"/>
        </w:rPr>
        <w:t>
      2) общая оценка.</w:t>
      </w:r>
    </w:p>
    <w:bookmarkEnd w:id="1965"/>
    <w:bookmarkStart w:name="z5353" w:id="1966"/>
    <w:p>
      <w:pPr>
        <w:spacing w:after="0"/>
        <w:ind w:left="0"/>
        <w:jc w:val="both"/>
      </w:pPr>
      <w:r>
        <w:rPr>
          <w:rFonts w:ascii="Times New Roman"/>
          <w:b w:val="false"/>
          <w:i w:val="false"/>
          <w:color w:val="000000"/>
          <w:sz w:val="28"/>
        </w:rPr>
        <w:t>
      Банк проводит оценку организационных процессов на выявление слабых сторон процесса, в части политики управления ликвидностью, организации процесса, процедур, систем и контролирующих действий, уровня ликвидности и доступности фондирования;</w:t>
      </w:r>
    </w:p>
    <w:bookmarkEnd w:id="1966"/>
    <w:bookmarkStart w:name="z5354" w:id="1967"/>
    <w:p>
      <w:pPr>
        <w:spacing w:after="0"/>
        <w:ind w:left="0"/>
        <w:jc w:val="both"/>
      </w:pPr>
      <w:r>
        <w:rPr>
          <w:rFonts w:ascii="Times New Roman"/>
          <w:b w:val="false"/>
          <w:i w:val="false"/>
          <w:color w:val="000000"/>
          <w:sz w:val="28"/>
        </w:rPr>
        <w:t>
      3) выявление областей, требующих улучшения.</w:t>
      </w:r>
    </w:p>
    <w:bookmarkEnd w:id="1967"/>
    <w:bookmarkStart w:name="z5355" w:id="1968"/>
    <w:p>
      <w:pPr>
        <w:spacing w:after="0"/>
        <w:ind w:left="0"/>
        <w:jc w:val="both"/>
      </w:pPr>
      <w:r>
        <w:rPr>
          <w:rFonts w:ascii="Times New Roman"/>
          <w:b w:val="false"/>
          <w:i w:val="false"/>
          <w:color w:val="000000"/>
          <w:sz w:val="28"/>
        </w:rPr>
        <w:t>
      Банк описывает области, требующие улучшения, а также описывает результаты предыдущей оценки, включая завершенные или реализуемые корректирующие действия;</w:t>
      </w:r>
    </w:p>
    <w:bookmarkEnd w:id="1968"/>
    <w:bookmarkStart w:name="z5356" w:id="1969"/>
    <w:p>
      <w:pPr>
        <w:spacing w:after="0"/>
        <w:ind w:left="0"/>
        <w:jc w:val="both"/>
      </w:pPr>
      <w:r>
        <w:rPr>
          <w:rFonts w:ascii="Times New Roman"/>
          <w:b w:val="false"/>
          <w:i w:val="false"/>
          <w:color w:val="000000"/>
          <w:sz w:val="28"/>
        </w:rPr>
        <w:t>
      4) корректирующие действия.</w:t>
      </w:r>
    </w:p>
    <w:bookmarkEnd w:id="1969"/>
    <w:bookmarkStart w:name="z5357" w:id="1970"/>
    <w:p>
      <w:pPr>
        <w:spacing w:after="0"/>
        <w:ind w:left="0"/>
        <w:jc w:val="both"/>
      </w:pPr>
      <w:r>
        <w:rPr>
          <w:rFonts w:ascii="Times New Roman"/>
          <w:b w:val="false"/>
          <w:i w:val="false"/>
          <w:color w:val="000000"/>
          <w:sz w:val="28"/>
        </w:rPr>
        <w:t>
      Банк описывает запланированные действия по улучшению выявленных в ходе самооценки областей.</w:t>
      </w:r>
    </w:p>
    <w:bookmarkEnd w:id="1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Структуре отчета</w:t>
            </w:r>
            <w:r>
              <w:br/>
            </w:r>
            <w:r>
              <w:rPr>
                <w:rFonts w:ascii="Times New Roman"/>
                <w:b w:val="false"/>
                <w:i w:val="false"/>
                <w:color w:val="000000"/>
                <w:sz w:val="20"/>
              </w:rPr>
              <w:t>по соблюдению внутреннего</w:t>
            </w:r>
            <w:r>
              <w:br/>
            </w:r>
            <w:r>
              <w:rPr>
                <w:rFonts w:ascii="Times New Roman"/>
                <w:b w:val="false"/>
                <w:i w:val="false"/>
                <w:color w:val="000000"/>
                <w:sz w:val="20"/>
              </w:rPr>
              <w:t>процесса оценки достаточности</w:t>
            </w:r>
            <w:r>
              <w:br/>
            </w:r>
            <w:r>
              <w:rPr>
                <w:rFonts w:ascii="Times New Roman"/>
                <w:b w:val="false"/>
                <w:i w:val="false"/>
                <w:color w:val="000000"/>
                <w:sz w:val="20"/>
              </w:rPr>
              <w:t>капитала и внутреннего</w:t>
            </w:r>
            <w:r>
              <w:br/>
            </w:r>
            <w:r>
              <w:rPr>
                <w:rFonts w:ascii="Times New Roman"/>
                <w:b w:val="false"/>
                <w:i w:val="false"/>
                <w:color w:val="000000"/>
                <w:sz w:val="20"/>
              </w:rPr>
              <w:t>процесса оценки</w:t>
            </w:r>
            <w:r>
              <w:br/>
            </w:r>
            <w:r>
              <w:rPr>
                <w:rFonts w:ascii="Times New Roman"/>
                <w:b w:val="false"/>
                <w:i w:val="false"/>
                <w:color w:val="000000"/>
                <w:sz w:val="20"/>
              </w:rPr>
              <w:t>достаточности ликвидности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992" w:id="1971"/>
    <w:p>
      <w:pPr>
        <w:spacing w:after="0"/>
        <w:ind w:left="0"/>
        <w:jc w:val="left"/>
      </w:pPr>
      <w:r>
        <w:rPr>
          <w:rFonts w:ascii="Times New Roman"/>
          <w:b/>
          <w:i w:val="false"/>
          <w:color w:val="000000"/>
        </w:rPr>
        <w:t xml:space="preserve"> Сведения об управленческой отчетности, формируемой в рамках ВПОДК и ВПОДЛ</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коллегиальный орган банка, утверждающий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(или) дата утверждения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3029" w:id="1972"/>
    <w:p>
      <w:pPr>
        <w:spacing w:after="0"/>
        <w:ind w:left="0"/>
        <w:jc w:val="both"/>
      </w:pPr>
      <w:r>
        <w:rPr>
          <w:rFonts w:ascii="Times New Roman"/>
          <w:b w:val="false"/>
          <w:i w:val="false"/>
          <w:color w:val="000000"/>
          <w:sz w:val="28"/>
        </w:rPr>
        <w:t>
      Примечание:</w:t>
      </w:r>
    </w:p>
    <w:bookmarkEnd w:id="1972"/>
    <w:bookmarkStart w:name="z3030" w:id="1973"/>
    <w:p>
      <w:pPr>
        <w:spacing w:after="0"/>
        <w:ind w:left="0"/>
        <w:jc w:val="both"/>
      </w:pPr>
      <w:r>
        <w:rPr>
          <w:rFonts w:ascii="Times New Roman"/>
          <w:b w:val="false"/>
          <w:i w:val="false"/>
          <w:color w:val="000000"/>
          <w:sz w:val="28"/>
        </w:rPr>
        <w:t>
      вся отчетность, формируемая в рамках процесса ВПОДК и ВПОДЛ, содержит, но не ограничиваясь, отчет о результатах стресс-тестирования, отчет о кредитном риске, отчет о рыночном риске, отчет об операционном риске, отчет по позициям ликвидности в разрезе временных горизонтов, отчет о факторах, влияющих на уровень запаса ликвидных активов, отчет о риске концентрации фондирования, отчет об ином существенном риске.</w:t>
      </w:r>
    </w:p>
    <w:bookmarkEnd w:id="1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032" w:id="1974"/>
    <w:p>
      <w:pPr>
        <w:spacing w:after="0"/>
        <w:ind w:left="0"/>
        <w:jc w:val="left"/>
      </w:pPr>
      <w:r>
        <w:rPr>
          <w:rFonts w:ascii="Times New Roman"/>
          <w:b/>
          <w:i w:val="false"/>
          <w:color w:val="000000"/>
        </w:rPr>
        <w:t xml:space="preserve"> Сведения о лимитах по уровням риск-аппетита </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установленного лимита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установленного лимита (в тысячах тенге и (или) процентах)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уровень, определенный как допустимый на отчетную дату (в тысячах тенге и (или)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предыдущую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ликвидности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9" w:id="1975"/>
    <w:p>
      <w:pPr>
        <w:spacing w:after="0"/>
        <w:ind w:left="0"/>
        <w:jc w:val="both"/>
      </w:pPr>
      <w:r>
        <w:rPr>
          <w:rFonts w:ascii="Times New Roman"/>
          <w:b w:val="false"/>
          <w:i w:val="false"/>
          <w:color w:val="000000"/>
          <w:sz w:val="28"/>
        </w:rPr>
        <w:t>
      продолжение таблицы:</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лимитов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уровней, определенные как допустимые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несоблюдения лимитов и уровня, определенного как допустимый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длительность дней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0" w:id="1976"/>
    <w:p>
      <w:pPr>
        <w:spacing w:after="0"/>
        <w:ind w:left="0"/>
        <w:jc w:val="both"/>
      </w:pPr>
      <w:r>
        <w:rPr>
          <w:rFonts w:ascii="Times New Roman"/>
          <w:b w:val="false"/>
          <w:i w:val="false"/>
          <w:color w:val="000000"/>
          <w:sz w:val="28"/>
        </w:rPr>
        <w:t>
      Примечание:</w:t>
      </w:r>
    </w:p>
    <w:bookmarkEnd w:id="1976"/>
    <w:bookmarkStart w:name="z3231" w:id="1977"/>
    <w:p>
      <w:pPr>
        <w:spacing w:after="0"/>
        <w:ind w:left="0"/>
        <w:jc w:val="both"/>
      </w:pPr>
      <w:r>
        <w:rPr>
          <w:rFonts w:ascii="Times New Roman"/>
          <w:b w:val="false"/>
          <w:i w:val="false"/>
          <w:color w:val="000000"/>
          <w:sz w:val="28"/>
        </w:rPr>
        <w:t>
      в графах 4 и 5 по каждому из установленных банком лимитов риск-аппетита указывается числовое или процентное значение;</w:t>
      </w:r>
    </w:p>
    <w:bookmarkEnd w:id="1977"/>
    <w:bookmarkStart w:name="z5359" w:id="1978"/>
    <w:p>
      <w:pPr>
        <w:spacing w:after="0"/>
        <w:ind w:left="0"/>
        <w:jc w:val="both"/>
      </w:pPr>
      <w:r>
        <w:rPr>
          <w:rFonts w:ascii="Times New Roman"/>
          <w:b w:val="false"/>
          <w:i w:val="false"/>
          <w:color w:val="000000"/>
          <w:sz w:val="28"/>
        </w:rPr>
        <w:t>
      в графе 6 по каждому из установленных банком лимитов риск-аппетита указывается уровень, определенный как допустимый;</w:t>
      </w:r>
    </w:p>
    <w:bookmarkEnd w:id="1978"/>
    <w:bookmarkStart w:name="z5360" w:id="1979"/>
    <w:p>
      <w:pPr>
        <w:spacing w:after="0"/>
        <w:ind w:left="0"/>
        <w:jc w:val="both"/>
      </w:pPr>
      <w:r>
        <w:rPr>
          <w:rFonts w:ascii="Times New Roman"/>
          <w:b w:val="false"/>
          <w:i w:val="false"/>
          <w:color w:val="000000"/>
          <w:sz w:val="28"/>
        </w:rPr>
        <w:t>
      в графе 7 по каждому из установленных лимитов указывается количество случаев его нарушения в отчетном периоде;</w:t>
      </w:r>
    </w:p>
    <w:bookmarkEnd w:id="1979"/>
    <w:bookmarkStart w:name="z5361" w:id="1980"/>
    <w:p>
      <w:pPr>
        <w:spacing w:after="0"/>
        <w:ind w:left="0"/>
        <w:jc w:val="both"/>
      </w:pPr>
      <w:r>
        <w:rPr>
          <w:rFonts w:ascii="Times New Roman"/>
          <w:b w:val="false"/>
          <w:i w:val="false"/>
          <w:color w:val="000000"/>
          <w:sz w:val="28"/>
        </w:rPr>
        <w:t>
      в графе 8 указывается общая длительность дней нарушения лимита в отчетном периоде;</w:t>
      </w:r>
    </w:p>
    <w:bookmarkEnd w:id="1980"/>
    <w:bookmarkStart w:name="z5362" w:id="1981"/>
    <w:p>
      <w:pPr>
        <w:spacing w:after="0"/>
        <w:ind w:left="0"/>
        <w:jc w:val="both"/>
      </w:pPr>
      <w:r>
        <w:rPr>
          <w:rFonts w:ascii="Times New Roman"/>
          <w:b w:val="false"/>
          <w:i w:val="false"/>
          <w:color w:val="000000"/>
          <w:sz w:val="28"/>
        </w:rPr>
        <w:t>
      в графе 9 по каждому из установленных уровней, определенных как допустимые указывается количество случаев его достижения в отчетном периоде;</w:t>
      </w:r>
    </w:p>
    <w:bookmarkEnd w:id="1981"/>
    <w:bookmarkStart w:name="z5363" w:id="1982"/>
    <w:p>
      <w:pPr>
        <w:spacing w:after="0"/>
        <w:ind w:left="0"/>
        <w:jc w:val="both"/>
      </w:pPr>
      <w:r>
        <w:rPr>
          <w:rFonts w:ascii="Times New Roman"/>
          <w:b w:val="false"/>
          <w:i w:val="false"/>
          <w:color w:val="000000"/>
          <w:sz w:val="28"/>
        </w:rPr>
        <w:t>
      в графе 10 указывается общая длительность дней достижения уровней, определенных как допустимые в отчетном периоде;</w:t>
      </w:r>
    </w:p>
    <w:bookmarkEnd w:id="1982"/>
    <w:bookmarkStart w:name="z5364" w:id="1983"/>
    <w:p>
      <w:pPr>
        <w:spacing w:after="0"/>
        <w:ind w:left="0"/>
        <w:jc w:val="both"/>
      </w:pPr>
      <w:r>
        <w:rPr>
          <w:rFonts w:ascii="Times New Roman"/>
          <w:b w:val="false"/>
          <w:i w:val="false"/>
          <w:color w:val="000000"/>
          <w:sz w:val="28"/>
        </w:rPr>
        <w:t>
      в графе 11 указываются причины несоблюдения лимитов риск-аппетита и уровней, определенных как допустимые в отчетном периоде;</w:t>
      </w:r>
    </w:p>
    <w:bookmarkEnd w:id="1983"/>
    <w:bookmarkStart w:name="z5365" w:id="1984"/>
    <w:p>
      <w:pPr>
        <w:spacing w:after="0"/>
        <w:ind w:left="0"/>
        <w:jc w:val="both"/>
      </w:pPr>
      <w:r>
        <w:rPr>
          <w:rFonts w:ascii="Times New Roman"/>
          <w:b w:val="false"/>
          <w:i w:val="false"/>
          <w:color w:val="000000"/>
          <w:sz w:val="28"/>
        </w:rPr>
        <w:t>
      в случае, если уровень, определенный как допустимый, не установлен, графы 6, 9 и 10 не заполняются.</w:t>
      </w:r>
    </w:p>
    <w:bookmarkEnd w:id="1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240" w:id="1985"/>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процессах ВПОДК</w:t>
      </w:r>
    </w:p>
    <w:bookmarkEnd w:id="1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19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9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19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19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19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внутреннего (экономического)/</w:t>
            </w:r>
          </w:p>
          <w:p>
            <w:pPr>
              <w:spacing w:after="20"/>
              <w:ind w:left="20"/>
              <w:jc w:val="both"/>
            </w:pPr>
            <w:r>
              <w:rPr>
                <w:rFonts w:ascii="Times New Roman"/>
                <w:b w:val="false"/>
                <w:i w:val="false"/>
                <w:color w:val="000000"/>
                <w:sz w:val="20"/>
              </w:rPr>
              <w:t>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19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19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оценка достаточности внутреннего (экономического) и регуляторного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19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результатов ВПОДК в стратегию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19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0" w:id="1995"/>
    <w:p>
      <w:pPr>
        <w:spacing w:after="0"/>
        <w:ind w:left="0"/>
        <w:jc w:val="both"/>
      </w:pPr>
      <w:r>
        <w:rPr>
          <w:rFonts w:ascii="Times New Roman"/>
          <w:b w:val="false"/>
          <w:i w:val="false"/>
          <w:color w:val="000000"/>
          <w:sz w:val="28"/>
        </w:rPr>
        <w:t>
      Примечание:</w:t>
      </w:r>
    </w:p>
    <w:bookmarkEnd w:id="1995"/>
    <w:bookmarkStart w:name="z5421" w:id="1996"/>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ВПОДК;</w:t>
      </w:r>
    </w:p>
    <w:bookmarkEnd w:id="1996"/>
    <w:bookmarkStart w:name="z5422" w:id="1997"/>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1997"/>
    <w:bookmarkStart w:name="z5423" w:id="1998"/>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1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425" w:id="1999"/>
    <w:p>
      <w:pPr>
        <w:spacing w:after="0"/>
        <w:ind w:left="0"/>
        <w:jc w:val="left"/>
      </w:pPr>
      <w:r>
        <w:rPr>
          <w:rFonts w:ascii="Times New Roman"/>
          <w:b/>
          <w:i w:val="false"/>
          <w:color w:val="000000"/>
        </w:rPr>
        <w:t xml:space="preserve"> Сведения о структуре рисков банка</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20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подвиды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(или) модели выявления и оценки существенных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20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0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00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20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0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00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20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20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00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0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20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0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(при наличии указать какие):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01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0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0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2" w:id="2014"/>
    <w:p>
      <w:pPr>
        <w:spacing w:after="0"/>
        <w:ind w:left="0"/>
        <w:jc w:val="both"/>
      </w:pPr>
      <w:r>
        <w:rPr>
          <w:rFonts w:ascii="Times New Roman"/>
          <w:b w:val="false"/>
          <w:i w:val="false"/>
          <w:color w:val="000000"/>
          <w:sz w:val="28"/>
        </w:rPr>
        <w:t>
      Примечание:</w:t>
      </w:r>
    </w:p>
    <w:bookmarkEnd w:id="2014"/>
    <w:bookmarkStart w:name="z5483" w:id="2015"/>
    <w:p>
      <w:pPr>
        <w:spacing w:after="0"/>
        <w:ind w:left="0"/>
        <w:jc w:val="both"/>
      </w:pPr>
      <w:r>
        <w:rPr>
          <w:rFonts w:ascii="Times New Roman"/>
          <w:b w:val="false"/>
          <w:i w:val="false"/>
          <w:color w:val="000000"/>
          <w:sz w:val="28"/>
        </w:rPr>
        <w:t>
      в графе 2 указывается виды и подвиды (при наличии) рисков;</w:t>
      </w:r>
    </w:p>
    <w:bookmarkEnd w:id="2015"/>
    <w:bookmarkStart w:name="z5484" w:id="2016"/>
    <w:p>
      <w:pPr>
        <w:spacing w:after="0"/>
        <w:ind w:left="0"/>
        <w:jc w:val="both"/>
      </w:pPr>
      <w:r>
        <w:rPr>
          <w:rFonts w:ascii="Times New Roman"/>
          <w:b w:val="false"/>
          <w:i w:val="false"/>
          <w:color w:val="000000"/>
          <w:sz w:val="28"/>
        </w:rPr>
        <w:t>
      в графе 3 указываются используемые методология и (или) модели выявления и оценки существенных рисков.</w:t>
      </w:r>
    </w:p>
    <w:bookmarkEnd w:id="2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486" w:id="2017"/>
    <w:p>
      <w:pPr>
        <w:spacing w:after="0"/>
        <w:ind w:left="0"/>
        <w:jc w:val="left"/>
      </w:pPr>
      <w:r>
        <w:rPr>
          <w:rFonts w:ascii="Times New Roman"/>
          <w:b/>
          <w:i w:val="false"/>
          <w:color w:val="000000"/>
        </w:rPr>
        <w:t xml:space="preserve"> Сведения о текущей стоимости банковской книги банка</w:t>
      </w:r>
    </w:p>
    <w:bookmarkEnd w:id="2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201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01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20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1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020"/>
          <w:p>
            <w:pPr>
              <w:spacing w:after="20"/>
              <w:ind w:left="20"/>
              <w:jc w:val="both"/>
            </w:pPr>
            <w:r>
              <w:rPr>
                <w:rFonts w:ascii="Times New Roman"/>
                <w:b w:val="false"/>
                <w:i w:val="false"/>
                <w:color w:val="000000"/>
                <w:sz w:val="20"/>
              </w:rPr>
              <w:t>
</w:t>
            </w:r>
            <w:r>
              <w:rPr>
                <w:rFonts w:ascii="Times New Roman"/>
                <w:b w:val="false"/>
                <w:i w:val="false"/>
                <w:color w:val="000000"/>
                <w:sz w:val="20"/>
              </w:rPr>
              <w:t>Активы, приносящие доход</w:t>
            </w:r>
          </w:p>
          <w:bookmarkEnd w:id="20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0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20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2023"/>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связанные с выплатой вознаграждения</w:t>
            </w:r>
          </w:p>
          <w:bookmarkEnd w:id="20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20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20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026"/>
          <w:p>
            <w:pPr>
              <w:spacing w:after="20"/>
              <w:ind w:left="20"/>
              <w:jc w:val="both"/>
            </w:pPr>
            <w:r>
              <w:rPr>
                <w:rFonts w:ascii="Times New Roman"/>
                <w:b w:val="false"/>
                <w:i w:val="false"/>
                <w:color w:val="000000"/>
                <w:sz w:val="20"/>
              </w:rPr>
              <w:t>
</w:t>
            </w:r>
            <w:r>
              <w:rPr>
                <w:rFonts w:ascii="Times New Roman"/>
                <w:b w:val="false"/>
                <w:i w:val="false"/>
                <w:color w:val="000000"/>
                <w:sz w:val="20"/>
              </w:rPr>
              <w:t>Внебалансовая позиция</w:t>
            </w:r>
          </w:p>
          <w:bookmarkEnd w:id="20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2027"/>
          <w:p>
            <w:pPr>
              <w:spacing w:after="20"/>
              <w:ind w:left="20"/>
              <w:jc w:val="both"/>
            </w:pPr>
            <w:r>
              <w:rPr>
                <w:rFonts w:ascii="Times New Roman"/>
                <w:b w:val="false"/>
                <w:i w:val="false"/>
                <w:color w:val="000000"/>
                <w:sz w:val="20"/>
              </w:rPr>
              <w:t>
</w:t>
            </w:r>
            <w:r>
              <w:rPr>
                <w:rFonts w:ascii="Times New Roman"/>
                <w:b w:val="false"/>
                <w:i w:val="false"/>
                <w:color w:val="000000"/>
                <w:sz w:val="20"/>
              </w:rPr>
              <w:t>EVE = Активы, приносящие доход</w:t>
            </w:r>
          </w:p>
          <w:bookmarkEnd w:id="2027"/>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Обязательства, связанные с выплатой вознаграждения</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Внебалансовая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5" w:id="2028"/>
    <w:p>
      <w:pPr>
        <w:spacing w:after="0"/>
        <w:ind w:left="0"/>
        <w:jc w:val="both"/>
      </w:pPr>
      <w:r>
        <w:rPr>
          <w:rFonts w:ascii="Times New Roman"/>
          <w:b w:val="false"/>
          <w:i w:val="false"/>
          <w:color w:val="000000"/>
          <w:sz w:val="28"/>
        </w:rPr>
        <w:t>
      продолжение таблицы:</w:t>
      </w:r>
    </w:p>
    <w:bookmarkEnd w:id="2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2029"/>
          <w:p>
            <w:pPr>
              <w:spacing w:after="20"/>
              <w:ind w:left="20"/>
              <w:jc w:val="both"/>
            </w:pPr>
            <w:r>
              <w:rPr>
                <w:rFonts w:ascii="Times New Roman"/>
                <w:b w:val="false"/>
                <w:i w:val="false"/>
                <w:color w:val="000000"/>
                <w:sz w:val="20"/>
              </w:rPr>
              <w:t>
</w:t>
            </w:r>
            <w:r>
              <w:rPr>
                <w:rFonts w:ascii="Times New Roman"/>
                <w:b w:val="false"/>
                <w:i w:val="false"/>
                <w:color w:val="000000"/>
                <w:sz w:val="20"/>
              </w:rPr>
              <w:t>Сумма текущей стоимости (факт)</w:t>
            </w:r>
          </w:p>
          <w:bookmarkEnd w:id="20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базисный пункт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20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6" w:id="2031"/>
    <w:p>
      <w:pPr>
        <w:spacing w:after="0"/>
        <w:ind w:left="0"/>
        <w:jc w:val="both"/>
      </w:pPr>
      <w:r>
        <w:rPr>
          <w:rFonts w:ascii="Times New Roman"/>
          <w:b w:val="false"/>
          <w:i w:val="false"/>
          <w:color w:val="000000"/>
          <w:sz w:val="28"/>
        </w:rPr>
        <w:t>
      Примечание:</w:t>
      </w:r>
    </w:p>
    <w:bookmarkEnd w:id="2031"/>
    <w:bookmarkStart w:name="z5647" w:id="2032"/>
    <w:p>
      <w:pPr>
        <w:spacing w:after="0"/>
        <w:ind w:left="0"/>
        <w:jc w:val="both"/>
      </w:pPr>
      <w:r>
        <w:rPr>
          <w:rFonts w:ascii="Times New Roman"/>
          <w:b w:val="false"/>
          <w:i w:val="false"/>
          <w:color w:val="000000"/>
          <w:sz w:val="28"/>
        </w:rPr>
        <w:t>
      в графе 2 активы и обязательства, чувствительные к изменению процентной ставки, распределяются по количеству временных корзин в соответствии с внутренней методологией банка;</w:t>
      </w:r>
    </w:p>
    <w:bookmarkEnd w:id="2032"/>
    <w:bookmarkStart w:name="z5648" w:id="2033"/>
    <w:p>
      <w:pPr>
        <w:spacing w:after="0"/>
        <w:ind w:left="0"/>
        <w:jc w:val="both"/>
      </w:pPr>
      <w:r>
        <w:rPr>
          <w:rFonts w:ascii="Times New Roman"/>
          <w:b w:val="false"/>
          <w:i w:val="false"/>
          <w:color w:val="000000"/>
          <w:sz w:val="28"/>
        </w:rPr>
        <w:t>
      в графах 4 и 5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национальной валюте, на определенных банком базисных пунктах;</w:t>
      </w:r>
    </w:p>
    <w:bookmarkEnd w:id="2033"/>
    <w:bookmarkStart w:name="z5649" w:id="2034"/>
    <w:p>
      <w:pPr>
        <w:spacing w:after="0"/>
        <w:ind w:left="0"/>
        <w:jc w:val="both"/>
      </w:pPr>
      <w:r>
        <w:rPr>
          <w:rFonts w:ascii="Times New Roman"/>
          <w:b w:val="false"/>
          <w:i w:val="false"/>
          <w:color w:val="000000"/>
          <w:sz w:val="28"/>
        </w:rPr>
        <w:t>
      в графах 6 и 7 указывается изменение экономической стоимости активов и обязательств банка, в случае параллельного изменения во всем диапазоне кривой доходности процентных ставок по активам и обязательствам, номинированным в иностранной валюте, на определенных банком базисных пунктах.</w:t>
      </w:r>
    </w:p>
    <w:bookmarkEnd w:id="2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651" w:id="2035"/>
    <w:p>
      <w:pPr>
        <w:spacing w:after="0"/>
        <w:ind w:left="0"/>
        <w:jc w:val="left"/>
      </w:pPr>
      <w:r>
        <w:rPr>
          <w:rFonts w:ascii="Times New Roman"/>
          <w:b/>
          <w:i w:val="false"/>
          <w:color w:val="000000"/>
        </w:rPr>
        <w:t xml:space="preserve"> Сведения о чистом процентном доходе</w:t>
      </w:r>
    </w:p>
    <w:bookmarkEnd w:id="2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03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0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стоимости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национальной валюте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стоимости в иностранной валюте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базисный пункт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базисный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20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2038"/>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Процентные доходы</w:t>
            </w:r>
          </w:p>
          <w:bookmarkEnd w:id="20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20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20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2041"/>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Процентные расходы</w:t>
            </w:r>
          </w:p>
          <w:bookmarkEnd w:id="20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20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20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2044"/>
          <w:p>
            <w:pPr>
              <w:spacing w:after="20"/>
              <w:ind w:left="20"/>
              <w:jc w:val="both"/>
            </w:pPr>
            <w:r>
              <w:rPr>
                <w:rFonts w:ascii="Times New Roman"/>
                <w:b w:val="false"/>
                <w:i w:val="false"/>
                <w:color w:val="000000"/>
                <w:sz w:val="20"/>
              </w:rPr>
              <w:t>
</w:t>
            </w:r>
            <w:r>
              <w:rPr>
                <w:rFonts w:ascii="Times New Roman"/>
                <w:b w:val="false"/>
                <w:i w:val="false"/>
                <w:color w:val="000000"/>
                <w:sz w:val="20"/>
              </w:rPr>
              <w:t>Чистый процентный доход (расход)</w:t>
            </w:r>
          </w:p>
          <w:bookmarkEnd w:id="20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0" w:id="2045"/>
    <w:p>
      <w:pPr>
        <w:spacing w:after="0"/>
        <w:ind w:left="0"/>
        <w:jc w:val="both"/>
      </w:pPr>
      <w:r>
        <w:rPr>
          <w:rFonts w:ascii="Times New Roman"/>
          <w:b w:val="false"/>
          <w:i w:val="false"/>
          <w:color w:val="000000"/>
          <w:sz w:val="28"/>
        </w:rPr>
        <w:t>
      Примечание:</w:t>
      </w:r>
    </w:p>
    <w:bookmarkEnd w:id="2045"/>
    <w:bookmarkStart w:name="z5731" w:id="2046"/>
    <w:p>
      <w:pPr>
        <w:spacing w:after="0"/>
        <w:ind w:left="0"/>
        <w:jc w:val="both"/>
      </w:pPr>
      <w:r>
        <w:rPr>
          <w:rFonts w:ascii="Times New Roman"/>
          <w:b w:val="false"/>
          <w:i w:val="false"/>
          <w:color w:val="000000"/>
          <w:sz w:val="28"/>
        </w:rPr>
        <w:t>
      в графах 4 и 5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национальной валюте, на определенные банком базисных пунктах;</w:t>
      </w:r>
    </w:p>
    <w:bookmarkEnd w:id="2046"/>
    <w:bookmarkStart w:name="z5732" w:id="2047"/>
    <w:p>
      <w:pPr>
        <w:spacing w:after="0"/>
        <w:ind w:left="0"/>
        <w:jc w:val="both"/>
      </w:pPr>
      <w:r>
        <w:rPr>
          <w:rFonts w:ascii="Times New Roman"/>
          <w:b w:val="false"/>
          <w:i w:val="false"/>
          <w:color w:val="000000"/>
          <w:sz w:val="28"/>
        </w:rPr>
        <w:t>
      в графах 6 и 7 указываются изменения процентных доходов и процентных расходов, в случае параллельного изменения кривой доходности процентных ставок по требованиям и обязательствам, номинированным в иностранной валюте, на определенные банком базисных пунктах.</w:t>
      </w:r>
    </w:p>
    <w:bookmarkEnd w:id="2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734" w:id="2048"/>
    <w:p>
      <w:pPr>
        <w:spacing w:after="0"/>
        <w:ind w:left="0"/>
        <w:jc w:val="left"/>
      </w:pPr>
      <w:r>
        <w:rPr>
          <w:rFonts w:ascii="Times New Roman"/>
          <w:b/>
          <w:i w:val="false"/>
          <w:color w:val="000000"/>
        </w:rPr>
        <w:t xml:space="preserve"> Сведения об оценке внутреннего (экономического) и регуляторного собственного капитала</w:t>
      </w:r>
    </w:p>
    <w:bookmarkEnd w:id="2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20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4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Регуляторный собственный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(экономический)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p>
            <w:pPr>
              <w:spacing w:after="20"/>
              <w:ind w:left="20"/>
              <w:jc w:val="both"/>
            </w:pPr>
            <w:r>
              <w:rPr>
                <w:rFonts w:ascii="Times New Roman"/>
                <w:b w:val="false"/>
                <w:i w:val="false"/>
                <w:color w:val="000000"/>
                <w:sz w:val="20"/>
              </w:rPr>
              <w:t>(t+1)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 учетом стресса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20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20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регуляторного капитала, соответствующая требованиям/общая сумма необходимого внутреннего (экономического) капитала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20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20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20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20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взвешенных с учетом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20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20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рыночного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205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операционного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205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существенные риски, подлежащие количественной оценке (указать какие)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2060"/>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20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2061"/>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20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206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капиталу с учетом существенных рисков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66" w:id="2063"/>
    <w:p>
      <w:pPr>
        <w:spacing w:after="0"/>
        <w:ind w:left="0"/>
        <w:jc w:val="both"/>
      </w:pPr>
      <w:r>
        <w:rPr>
          <w:rFonts w:ascii="Times New Roman"/>
          <w:b w:val="false"/>
          <w:i w:val="false"/>
          <w:color w:val="000000"/>
          <w:sz w:val="28"/>
        </w:rPr>
        <w:t>
      Примечание:</w:t>
      </w:r>
    </w:p>
    <w:bookmarkEnd w:id="2063"/>
    <w:bookmarkStart w:name="z5867" w:id="2064"/>
    <w:p>
      <w:pPr>
        <w:spacing w:after="0"/>
        <w:ind w:left="0"/>
        <w:jc w:val="both"/>
      </w:pPr>
      <w:r>
        <w:rPr>
          <w:rFonts w:ascii="Times New Roman"/>
          <w:b w:val="false"/>
          <w:i w:val="false"/>
          <w:color w:val="000000"/>
          <w:sz w:val="28"/>
        </w:rPr>
        <w:t>
      в графах 3 и 4 указывается фактическое и прогнозное значение капитала по каждому виду риска, а также прогнозное значение с учетом стресс-тестирования.</w:t>
      </w:r>
    </w:p>
    <w:bookmarkEnd w:id="2064"/>
    <w:bookmarkStart w:name="z5868" w:id="2065"/>
    <w:p>
      <w:pPr>
        <w:spacing w:after="0"/>
        <w:ind w:left="0"/>
        <w:jc w:val="both"/>
      </w:pPr>
      <w:r>
        <w:rPr>
          <w:rFonts w:ascii="Times New Roman"/>
          <w:b w:val="false"/>
          <w:i w:val="false"/>
          <w:color w:val="000000"/>
          <w:sz w:val="28"/>
        </w:rPr>
        <w:t>
      Если не применимо, используется сокращение НП – "не применимо".</w:t>
      </w:r>
    </w:p>
    <w:bookmarkEnd w:id="2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5870" w:id="2066"/>
    <w:p>
      <w:pPr>
        <w:spacing w:after="0"/>
        <w:ind w:left="0"/>
        <w:jc w:val="left"/>
      </w:pPr>
      <w:r>
        <w:rPr>
          <w:rFonts w:ascii="Times New Roman"/>
          <w:b/>
          <w:i w:val="false"/>
          <w:color w:val="000000"/>
        </w:rPr>
        <w:t xml:space="preserve"> Сведения о сценариях стресс-тестирования</w:t>
      </w:r>
    </w:p>
    <w:bookmarkEnd w:id="2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0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горизонт, периодичность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0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1" w:id="2069"/>
    <w:p>
      <w:pPr>
        <w:spacing w:after="0"/>
        <w:ind w:left="0"/>
        <w:jc w:val="both"/>
      </w:pPr>
      <w:r>
        <w:rPr>
          <w:rFonts w:ascii="Times New Roman"/>
          <w:b w:val="false"/>
          <w:i w:val="false"/>
          <w:color w:val="000000"/>
          <w:sz w:val="28"/>
        </w:rPr>
        <w:t>
      Примечание:</w:t>
      </w:r>
    </w:p>
    <w:bookmarkEnd w:id="2069"/>
    <w:bookmarkStart w:name="z5902" w:id="2070"/>
    <w:p>
      <w:pPr>
        <w:spacing w:after="0"/>
        <w:ind w:left="0"/>
        <w:jc w:val="both"/>
      </w:pPr>
      <w:r>
        <w:rPr>
          <w:rFonts w:ascii="Times New Roman"/>
          <w:b w:val="false"/>
          <w:i w:val="false"/>
          <w:color w:val="000000"/>
          <w:sz w:val="28"/>
        </w:rPr>
        <w:t>
      в графе 2 указывается наименование для каждого сценария стресс-тестирования;</w:t>
      </w:r>
    </w:p>
    <w:bookmarkEnd w:id="2070"/>
    <w:bookmarkStart w:name="z5903" w:id="2071"/>
    <w:p>
      <w:pPr>
        <w:spacing w:after="0"/>
        <w:ind w:left="0"/>
        <w:jc w:val="both"/>
      </w:pPr>
      <w:r>
        <w:rPr>
          <w:rFonts w:ascii="Times New Roman"/>
          <w:b w:val="false"/>
          <w:i w:val="false"/>
          <w:color w:val="000000"/>
          <w:sz w:val="28"/>
        </w:rPr>
        <w:t>
      в графе 3 для каждого сценария указывается значение параметра стресс-тестирования;</w:t>
      </w:r>
    </w:p>
    <w:bookmarkEnd w:id="2071"/>
    <w:bookmarkStart w:name="z5904" w:id="2072"/>
    <w:p>
      <w:pPr>
        <w:spacing w:after="0"/>
        <w:ind w:left="0"/>
        <w:jc w:val="both"/>
      </w:pPr>
      <w:r>
        <w:rPr>
          <w:rFonts w:ascii="Times New Roman"/>
          <w:b w:val="false"/>
          <w:i w:val="false"/>
          <w:color w:val="000000"/>
          <w:sz w:val="28"/>
        </w:rPr>
        <w:t>
      в графе 4 для каждого параметра стресс-сценария указывается временной горизонт и периодичность проведения;</w:t>
      </w:r>
    </w:p>
    <w:bookmarkEnd w:id="2072"/>
    <w:bookmarkStart w:name="z5905" w:id="2073"/>
    <w:p>
      <w:pPr>
        <w:spacing w:after="0"/>
        <w:ind w:left="0"/>
        <w:jc w:val="both"/>
      </w:pPr>
      <w:r>
        <w:rPr>
          <w:rFonts w:ascii="Times New Roman"/>
          <w:b w:val="false"/>
          <w:i w:val="false"/>
          <w:color w:val="000000"/>
          <w:sz w:val="28"/>
        </w:rPr>
        <w:t>
      в графе 5 для каждого параметра стресс-сценария указываются виды рисков, на которые он оказывает влияние.</w:t>
      </w:r>
    </w:p>
    <w:bookmarkEnd w:id="2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5907" w:id="2074"/>
    <w:p>
      <w:pPr>
        <w:spacing w:after="0"/>
        <w:ind w:left="0"/>
        <w:jc w:val="left"/>
      </w:pPr>
      <w:r>
        <w:rPr>
          <w:rFonts w:ascii="Times New Roman"/>
          <w:b/>
          <w:i w:val="false"/>
          <w:color w:val="000000"/>
        </w:rPr>
        <w:t xml:space="preserve"> Сведения о процессах ВПОДЛ</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20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процесса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документ, регламентирующий процесс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20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20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20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существенных рисков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20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основных показателей риска ликвидности (коэффициент покрытия ликвидности, коэффициент нетто стабильного фондирования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20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краткосрочной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20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долгосрочной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20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устойчивости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20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управления буфером ликвидности и залоговым обеспечением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20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риска ликвидности в процессе утверждения 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20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20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со стратегией риск-аппетита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20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по ВПОДЛ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6" w:id="2088"/>
    <w:p>
      <w:pPr>
        <w:spacing w:after="0"/>
        <w:ind w:left="0"/>
        <w:jc w:val="both"/>
      </w:pPr>
      <w:r>
        <w:rPr>
          <w:rFonts w:ascii="Times New Roman"/>
          <w:b w:val="false"/>
          <w:i w:val="false"/>
          <w:color w:val="000000"/>
          <w:sz w:val="28"/>
        </w:rPr>
        <w:t>
      Примечание:</w:t>
      </w:r>
    </w:p>
    <w:bookmarkEnd w:id="2088"/>
    <w:bookmarkStart w:name="z5987" w:id="2089"/>
    <w:p>
      <w:pPr>
        <w:spacing w:after="0"/>
        <w:ind w:left="0"/>
        <w:jc w:val="both"/>
      </w:pPr>
      <w:r>
        <w:rPr>
          <w:rFonts w:ascii="Times New Roman"/>
          <w:b w:val="false"/>
          <w:i w:val="false"/>
          <w:color w:val="000000"/>
          <w:sz w:val="28"/>
        </w:rPr>
        <w:t>
      в графе 3 указывается описание используемой банком методики для каждого этапа ВПОДЛ;</w:t>
      </w:r>
    </w:p>
    <w:bookmarkEnd w:id="2089"/>
    <w:bookmarkStart w:name="z5988" w:id="2090"/>
    <w:p>
      <w:pPr>
        <w:spacing w:after="0"/>
        <w:ind w:left="0"/>
        <w:jc w:val="both"/>
      </w:pPr>
      <w:r>
        <w:rPr>
          <w:rFonts w:ascii="Times New Roman"/>
          <w:b w:val="false"/>
          <w:i w:val="false"/>
          <w:color w:val="000000"/>
          <w:sz w:val="28"/>
        </w:rPr>
        <w:t>
      в графе 4 указывается ответственное подразделение, осуществляющее соответствующий этап;</w:t>
      </w:r>
    </w:p>
    <w:bookmarkEnd w:id="2090"/>
    <w:bookmarkStart w:name="z5989" w:id="2091"/>
    <w:p>
      <w:pPr>
        <w:spacing w:after="0"/>
        <w:ind w:left="0"/>
        <w:jc w:val="both"/>
      </w:pPr>
      <w:r>
        <w:rPr>
          <w:rFonts w:ascii="Times New Roman"/>
          <w:b w:val="false"/>
          <w:i w:val="false"/>
          <w:color w:val="000000"/>
          <w:sz w:val="28"/>
        </w:rPr>
        <w:t>
      в графе 5 указывается внутренний документ, регламентирующий соответствующий процесс ВПОДК.</w:t>
      </w:r>
    </w:p>
    <w:bookmarkEnd w:id="2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5991" w:id="2092"/>
    <w:p>
      <w:pPr>
        <w:spacing w:after="0"/>
        <w:ind w:left="0"/>
        <w:jc w:val="left"/>
      </w:pPr>
      <w:r>
        <w:rPr>
          <w:rFonts w:ascii="Times New Roman"/>
          <w:b/>
          <w:i w:val="false"/>
          <w:color w:val="000000"/>
        </w:rPr>
        <w:t xml:space="preserve"> Сведения о результатах стресс-тестирования</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20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стресс-тестирования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сценария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20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20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20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20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20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20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финансирование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21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показатель (при наличии указать какой)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0" w:id="2101"/>
    <w:p>
      <w:pPr>
        <w:spacing w:after="0"/>
        <w:ind w:left="0"/>
        <w:jc w:val="both"/>
      </w:pPr>
      <w:r>
        <w:rPr>
          <w:rFonts w:ascii="Times New Roman"/>
          <w:b w:val="false"/>
          <w:i w:val="false"/>
          <w:color w:val="000000"/>
          <w:sz w:val="28"/>
        </w:rPr>
        <w:t>
      продолжение таблицы:</w:t>
      </w:r>
    </w:p>
    <w:bookmarkEnd w:id="2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2102"/>
          <w:p>
            <w:pPr>
              <w:spacing w:after="20"/>
              <w:ind w:left="20"/>
              <w:jc w:val="both"/>
            </w:pPr>
            <w:r>
              <w:rPr>
                <w:rFonts w:ascii="Times New Roman"/>
                <w:b w:val="false"/>
                <w:i w:val="false"/>
                <w:color w:val="000000"/>
                <w:sz w:val="20"/>
              </w:rPr>
              <w:t>
</w:t>
            </w:r>
            <w:r>
              <w:rPr>
                <w:rFonts w:ascii="Times New Roman"/>
                <w:b w:val="false"/>
                <w:i w:val="false"/>
                <w:color w:val="000000"/>
                <w:sz w:val="20"/>
              </w:rPr>
              <w:t>С учетом стресса (временной горизонт 1)</w:t>
            </w:r>
          </w:p>
          <w:bookmarkEnd w:id="2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21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5" w:id="2104"/>
    <w:p>
      <w:pPr>
        <w:spacing w:after="0"/>
        <w:ind w:left="0"/>
        <w:jc w:val="both"/>
      </w:pPr>
      <w:r>
        <w:rPr>
          <w:rFonts w:ascii="Times New Roman"/>
          <w:b w:val="false"/>
          <w:i w:val="false"/>
          <w:color w:val="000000"/>
          <w:sz w:val="28"/>
        </w:rPr>
        <w:t>
      Примечание:</w:t>
      </w:r>
    </w:p>
    <w:bookmarkEnd w:id="2104"/>
    <w:bookmarkStart w:name="z6066" w:id="2105"/>
    <w:p>
      <w:pPr>
        <w:spacing w:after="0"/>
        <w:ind w:left="0"/>
        <w:jc w:val="both"/>
      </w:pPr>
      <w:r>
        <w:rPr>
          <w:rFonts w:ascii="Times New Roman"/>
          <w:b w:val="false"/>
          <w:i w:val="false"/>
          <w:color w:val="000000"/>
          <w:sz w:val="28"/>
        </w:rPr>
        <w:t>
      в графе 5 указывается фактическое значение за отчетный период;</w:t>
      </w:r>
    </w:p>
    <w:bookmarkEnd w:id="2105"/>
    <w:bookmarkStart w:name="z6067" w:id="2106"/>
    <w:p>
      <w:pPr>
        <w:spacing w:after="0"/>
        <w:ind w:left="0"/>
        <w:jc w:val="both"/>
      </w:pPr>
      <w:r>
        <w:rPr>
          <w:rFonts w:ascii="Times New Roman"/>
          <w:b w:val="false"/>
          <w:i w:val="false"/>
          <w:color w:val="000000"/>
          <w:sz w:val="28"/>
        </w:rPr>
        <w:t>
      в графе 6 указываются значения с учетом применения временного горизонта;</w:t>
      </w:r>
    </w:p>
    <w:bookmarkEnd w:id="2106"/>
    <w:bookmarkStart w:name="z6068" w:id="2107"/>
    <w:p>
      <w:pPr>
        <w:spacing w:after="0"/>
        <w:ind w:left="0"/>
        <w:jc w:val="both"/>
      </w:pPr>
      <w:r>
        <w:rPr>
          <w:rFonts w:ascii="Times New Roman"/>
          <w:b w:val="false"/>
          <w:i w:val="false"/>
          <w:color w:val="000000"/>
          <w:sz w:val="28"/>
        </w:rPr>
        <w:t>
      в графе 7 указываются примечания к таблице.</w:t>
      </w:r>
    </w:p>
    <w:bookmarkEnd w:id="2107"/>
    <w:bookmarkStart w:name="z6069" w:id="2108"/>
    <w:p>
      <w:pPr>
        <w:spacing w:after="0"/>
        <w:ind w:left="0"/>
        <w:jc w:val="both"/>
      </w:pPr>
      <w:r>
        <w:rPr>
          <w:rFonts w:ascii="Times New Roman"/>
          <w:b w:val="false"/>
          <w:i w:val="false"/>
          <w:color w:val="000000"/>
          <w:sz w:val="28"/>
        </w:rPr>
        <w:t>
      Коэффициент покрытия ликвидности и коэффициент нетто стабильного фондирования применим для всех банков, за исключением исламских банков.</w:t>
      </w:r>
    </w:p>
    <w:bookmarkEnd w:id="2108"/>
    <w:bookmarkStart w:name="z6070" w:id="2109"/>
    <w:p>
      <w:pPr>
        <w:spacing w:after="0"/>
        <w:ind w:left="0"/>
        <w:jc w:val="both"/>
      </w:pPr>
      <w:r>
        <w:rPr>
          <w:rFonts w:ascii="Times New Roman"/>
          <w:b w:val="false"/>
          <w:i w:val="false"/>
          <w:color w:val="000000"/>
          <w:sz w:val="28"/>
        </w:rPr>
        <w:t>
      Сценарий и параметры стресс-тестирования определяются в соответствии с внешней операционной средой, стратегией, организационной структурой, объемом активов, характером и уровнем сложности операций банка.</w:t>
      </w:r>
    </w:p>
    <w:bookmarkEnd w:id="2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приложениями 2 и 3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93</w:t>
      </w:r>
      <w:r>
        <w:rPr>
          <w:rFonts w:ascii="Times New Roman"/>
          <w:b w:val="false"/>
          <w:i w:val="false"/>
          <w:color w:val="ff0000"/>
          <w:sz w:val="28"/>
        </w:rPr>
        <w:t xml:space="preserve"> (</w:t>
      </w:r>
      <w:r>
        <w:rPr>
          <w:rFonts w:ascii="Times New Roman"/>
          <w:b w:val="false"/>
          <w:i w:val="false"/>
          <w:color w:val="ff0000"/>
          <w:sz w:val="28"/>
        </w:rPr>
        <w:t>вводятся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2019 года № 188</w:t>
            </w:r>
          </w:p>
        </w:tc>
      </w:tr>
    </w:tbl>
    <w:bookmarkStart w:name="z1443" w:id="211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2110"/>
    <w:bookmarkStart w:name="z1444" w:id="2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2014 года № 29 "Об утверждении Правил формирования системы управления рисками и внутреннего контроля для банков второго уровня" (зарегистрировано в Реестре государственной регистрации нормативных правовых актов под № 9322, опубликовано 17 апреля 2014 года в информационно-правовой системе "Әділет").</w:t>
      </w:r>
    </w:p>
    <w:bookmarkEnd w:id="2111"/>
    <w:bookmarkStart w:name="z1445" w:id="2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(зарегистрировано в Реестре государственной регистрации нормативных правовых актов под № 9796, опубликовано 12 ноября 2014 года в информационно-правовой системе "Әділет").</w:t>
      </w:r>
    </w:p>
    <w:bookmarkEnd w:id="2112"/>
    <w:bookmarkStart w:name="z1446" w:id="2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Перечня некоторых нормативных правовых актов Республики Казахстан, в которые вносятся изменения и дополнения по вопросам регулирования финансового рынка, платежей и платежных систем, утвержденного постановлением Правления Национального Банка Республики Казахстан от 29 октября 2018 года № 267 "О внесении изменений и дополнений в некоторые нормативные правовые акты Республики Казахстан по вопросам регулирования финансового рынка, платежей и платежных систем" (зарегистрировано в Реестре государственной регистрации нормативных правовых актов под № 18123, опубликовано 11 января 2019 года в Эталонном контрольном банке нормативных правовых актов Республики Казахстан). </w:t>
      </w:r>
    </w:p>
    <w:bookmarkEnd w:id="2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