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64c3" w14:textId="d496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16 февраля 2018 года № 222 "Об утверждении Правил, сроков и формы предоставления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12 декабря 2019 года № 1374. Зарегистрирован в Министерстве юстиции Республики Казахстан 13 декабря 2019 года № 19733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2018 года № 222 "Об утверждении Правил, сроков и формы предоставления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 (зарегистрирован в Реестре государственной регистрации нормативных правовых актов под № 16503, опубликован 13 марта 2018 года в Эталонном контрольном банке нормативных правовых актов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сроках и форме предоставления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"13. Информация на бумажном носителе составляется в двух экземплярах, подписывается физическим лицом, руководителем юридического лица и (или) структурного подразделения юридического лица.</w:t>
      </w:r>
    </w:p>
    <w:bookmarkEnd w:id="3"/>
    <w:bookmarkStart w:name="z9" w:id="4"/>
    <w:p>
      <w:pPr>
        <w:spacing w:after="0"/>
        <w:ind w:left="0"/>
        <w:jc w:val="both"/>
      </w:pPr>
      <w:r>
        <w:rPr>
          <w:rFonts w:ascii="Times New Roman"/>
          <w:b w:val="false"/>
          <w:i w:val="false"/>
          <w:color w:val="000000"/>
          <w:sz w:val="28"/>
        </w:rPr>
        <w:t>
      При этом один экземпляр возвращается лицу с отметкой органа государственных доходов с обязательным указанием входящего номера информации.</w:t>
      </w:r>
    </w:p>
    <w:bookmarkEnd w:id="4"/>
    <w:bookmarkStart w:name="z10" w:id="5"/>
    <w:p>
      <w:pPr>
        <w:spacing w:after="0"/>
        <w:ind w:left="0"/>
        <w:jc w:val="both"/>
      </w:pPr>
      <w:r>
        <w:rPr>
          <w:rFonts w:ascii="Times New Roman"/>
          <w:b w:val="false"/>
          <w:i w:val="false"/>
          <w:color w:val="000000"/>
          <w:sz w:val="28"/>
        </w:rPr>
        <w:t>
      Одновременно с информацией на бумажном носителе предоставляется информация на электронном носителе (в формате Microsoft Excel).</w:t>
      </w:r>
    </w:p>
    <w:bookmarkEnd w:id="5"/>
    <w:bookmarkStart w:name="z11" w:id="6"/>
    <w:p>
      <w:pPr>
        <w:spacing w:after="0"/>
        <w:ind w:left="0"/>
        <w:jc w:val="both"/>
      </w:pPr>
      <w:r>
        <w:rPr>
          <w:rFonts w:ascii="Times New Roman"/>
          <w:b w:val="false"/>
          <w:i w:val="false"/>
          <w:color w:val="000000"/>
          <w:sz w:val="28"/>
        </w:rPr>
        <w:t>
      Далее информация регистрируется, и по ней осуществляется ввод данных органом государственных доходов в системе, допускающей компьютерную обработку информации.</w:t>
      </w:r>
    </w:p>
    <w:bookmarkEnd w:id="6"/>
    <w:bookmarkStart w:name="z12" w:id="7"/>
    <w:p>
      <w:pPr>
        <w:spacing w:after="0"/>
        <w:ind w:left="0"/>
        <w:jc w:val="both"/>
      </w:pPr>
      <w:r>
        <w:rPr>
          <w:rFonts w:ascii="Times New Roman"/>
          <w:b w:val="false"/>
          <w:i w:val="false"/>
          <w:color w:val="000000"/>
          <w:sz w:val="28"/>
        </w:rPr>
        <w:t>
      Датой предоставления информации на бумажном носителе является дата приема органом государственных доходов информации на бумажном носителе.".</w:t>
      </w:r>
    </w:p>
    <w:bookmarkEnd w:id="7"/>
    <w:bookmarkStart w:name="z13" w:id="8"/>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
    <w:bookmarkStart w:name="z16"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
    <w:bookmarkStart w:name="z17" w:id="1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