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1a9a" w14:textId="1fd1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25 декабря 2019 года № 1417. Зарегистрирован в Министерстве юстиции Республики Казахстан 26 декабря 2019 года № 19766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"632. Основными критериями кредитоспособности специализированной организации, заключающей кредитный договор с кредитором в лице уполномоченного органа по исполнению бюджета либо кредитором соответствующего местного исполнительного органа, являются: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(просроченной задолженности) по кредитам, полученным ранее за счет денег республиканского и/или местных бюджетов;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налоговой задолженности;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пруденциальных нормативов, установленных банковским законодательством, в течение трех последних месяцев, предшествующих дате проведения конкурса;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раза, за исключением финансовых агентств, осуществляющих деятельность жилищных строительных сберегательных банков, национального управляющего холдинга,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(долей участия) национальных институтов развития, национальных компаний,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обеспечения по своевременному возврату бюджетных кредитов; при необходимости наличие филиальной сети и/или корреспондентской сети.".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