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f828" w14:textId="eed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12 сентября 2017 года № А-10/388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2019 года № А-6/254. Зарегистрировано Департаментом юстиции Акмолинской области 12 июня 2019 года № 7230.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12 сентября 2017 года № А-10/388 (зарегистрировано в Реестре государственной регистрации нормативных правовых актов № 6105, опубликовано 13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А-6/254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 - 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(зарегистрирован в Реестре государственной регистрации нормативных правовых актов за № 11284)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уведомления. Данное уведомление становится доступным в личном кабинете перерабатывающего предприятия в информационной системе субсидирования в случае самостоятельной регистрации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 – 30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уведомления либо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уведомления либо мотивированного отказа.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перерабатывающего предприятия в информационной системе субсидирования в случае самостоятельной регистрации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 – 30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глубокой переработки"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