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00d" w14:textId="fa9d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января 2019 года № 6С-35/3. Зарегистрировано Департаментом юстиции Акмолинской области 14 января 2019 года № 7044. Утратило силу решением Буландынского районного маслихата Акмолинской области от 12 марта 2020 года № 6С-54/5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6С-54/5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Буландынского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порядка и размера оказания жилищной помощи малообеспеченным семьям (гражданам) проживающим в Буландынском районе" от 10 апреля 2015 года № 5С-37/3 (зарегистрировано в Реестре государственной регистрации нормативных правовых актов № 4781, опубликовано 15 мая 2015 года в районных газетах "Бұланды Таңы" и "Вести Бұланды жаршысы");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в решение Буландынского районного маслихата от 10 апреля 2015 года № 5С-37/3 "Об определении порядка и размера оказания жилищной помощи малообеспеченным семьям (гражданам) проживающим в Буландынском районе" от 19 апреля 2016 года № 6С-2/5 (зарегистрировано в Реестре государственной регистрации нормативных правовых актов № 5303, опубликовано 13 мая 2016 года в районной газете "Бұланды Ақпарат").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35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Буландынском районе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Буландынского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Буландынского района" (далее –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11 % к совокупному доходу семьи (гражданина) на оплату: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