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211b" w14:textId="0e8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апреля 2019 года № 356. Зарегистрировано Департаментом юстиции города Шымкент 29 апреля 2019 года № 38.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Д. Жумина.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356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– государственная услуга) оказывается гоударственным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(зарегистрирован в Реестре государственной регистрации нормативных правовых актов под № 11946)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субсидирование стоимости удобрений (за исключением органических) (далее – субсидия),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через Портал –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356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гоударственным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(зарегистрирован в Реестре государственной регистрации нормативных правовых актов под № 11684)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 (далее – субсидия),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через Портал –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целях защиты растений"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356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развития семеноводства" (далее – государственная услуга) оказывается гоударственным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развития семеноводства",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(зарегистрирован в Реестре государственной регистрации нормативных правовых актов под № 11455)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субсидирование развития семеноводства (далее – субсидия),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через Портал –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этим при подаче переводной заявки срок оказания государственной услуги увеличивается на 15(пятнадцать)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этим при подаче переводной заявки срок оказания государственной услуги увеличивается на 15(пятнадцать)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 356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(далее – государственная услуга) оказывается гоударственным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(зарегистрирован в Реестре государственной регистрации нормативных правовых актов под № 12091)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 (далее – субсидия),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через Портал –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(далее – ЭЦП) услугополучателя.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8 (восемь)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лизензии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8 (восемь)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лизензии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реализацию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применение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