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d27a" w14:textId="736d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24 мая 2019 года № 442. Зарегистрировано Департаментом юстиции города Шымкент 30 мая 2019 года № 43.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Шымкентский региональный центр правовой информации-филиал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Д.Жумина.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442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государственным учреждением "Управление сельского хозяйства и ветеринарии города Шымкент" (далее – услугодатель) на основании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9-3/999 (зарегистрирован в Реестре государственной регистрации нормативных правовых актов под № 12520)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(далее –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направляет результат оказания услуги услугополучателю в "личный кабинет" – 30 (тридцать)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услуги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сотрудником канцелярии приема документов, их регистрации и передачи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передает заявление услугополучателя руководителю отдела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передает заявление услугополучателя ответственному исполнителю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представленные услугополучателем документы, подготавливает результат государственной услуги или мотивированный отказ –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направляет результат оказания услуги услугополучателю в "личный кабинет" – 30 (тридцать) минут.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индентификационного или бизнес – индентификационного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вложениях"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