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4a7a" w14:textId="99d4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30 декабря 2019 года № 1690/37. Зарегистрировано Департаментом юстиции Карагандинской области 31 декабря 2019 года № 5645.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11 083 263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1 662 858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49 341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9 354 079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13 146 372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175 732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175 732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9 864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2 228 977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2 228 977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2 306 553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минус 77 576 тысяч тенге.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1776/44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2020 год установлены нормативы распределения доходов в областной бюджет, бюджету города Шахтинск в следующих размерах: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80 процентов;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80 процентов.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2020 год предусмотрен объем субвенций, передаваемый из областного бюджета городу Шахтинск - 5 851 316 тысяч тенге.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на 2020 год предусмотрены целевые трансферты и бюджетные кредиты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на 2020 год предусмотрены целевые трансферты и бюджетные кредиты администраторам бюджетных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городского бюджета на 2020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городских бюджетных программ, не подлежащих секвестру в процессе исполнения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на 2020 год в сумме 33 000 тысячи тенге.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1776/44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- 2 228 977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2 306 553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7 704 029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39 119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Шахтинского городского маслихата Карагандинской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1776/44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города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Шахтинска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Шахтинского городского маслихата Карагандинской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1776/44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Шахтинска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1690/37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городского бюджета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