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6e1e" w14:textId="9a56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12 января 2018 года № 1017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апреля 2019 года № 1366. Зарегистрировано Департаментом юстиции Кызылординской области 10 апреля 2019 года № 6766.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 1017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6155, опубликовано 2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строительства, архитектуры и градостроительства Кызылординской области" принять меры, вытекающие из настоящего постановления.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"9" апреля 2019 года №1366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12 января 2018 года №1017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строительства, архитектуры и градостроительства (далее – услугодатель).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по уточнению адреса объектов недвижимости (без истории/с историей), справка о присвоении адреса объекта недвижимости или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справка)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27 марта 2015 года № 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номером 11018) (далее –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при наличии сведений в информационной системе "Адресный регистр" распечатывает справку с информационной системы "Адресный регистр" и выдает услугополучателю (не более пятнадцати минут). Результат процедуры (действия): выдача справки (без истории/с историей);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архивных сведений об изменении адреса объекта недвижимости в информационной системе "Адресный регистр", работник Государственной корпорации регистрирует документы, выдает услугополучателю расписку о приеме соответствующих документов;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двадцати минут). Результат процедуры (действия): предоставление документов руководителю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проект мотивированного отказа в оказании государственной услуги (далее – мотивированный отказ) (в течение одного рабочего дня);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подготавливает проект справки о присвоении адреса объекта недвижимости либо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(в течение пяти рабочих дней). Результат процедуры (действия): предоставление на подпись руководителю услугодателя проекта мотивированного отказа либо справки;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мотивированный отказ либо справку (не более одного часа). Результат процедуры (действия): направление подписанного результата оказания государственной услуги сотруднику канцелярии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(в течение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результат оказания государственной услуги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- ИИН) и пароля;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вводит ИИН и пароль (процесс авторизации) на портале для получения электронной государственной услуги;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ИИН и пароля на портале производится проверка подлинности данных о регистрированном услугополучателе через ИИН и пароль;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выбирает услугу "Выдача справки по уточнению адреса объектов недвижимости (без истории/с историей)",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подписывает посредством своей электронной цифровой подписи (далее – ЭЦП) заполненную форму запроса на оказание электронной государственной услуги;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 портале производится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электронный документ (запрос услугополучателя), подписанный ЭЦП, направляется через информационную систему "Адресный регистр" в Электронный реестр по уточнению адреса объектов недвижимости;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формируется ответ результата оказания государственной услуги. Формируется электронный документ (справка) и передается в "личный кабинет" услугополучателя на портале.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Кызылординской области от "9" апреля 2019 года №1366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12 января 2018 года №1017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56"/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строительства, архитектуры и градостроительства (далее – услугодатель).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(частично автоматизированная) и (или) бумажная.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(далее – АПЗ)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приказом исполняющего обязанности Министра национальной экономики Республики Казахстан от 27 марта 2015 года № 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номером 11018) (далее – стандарт);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(далее – ТУ);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 (далее – выкопировка из ПДП);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реконструкцию (перепланировку, переоборудование) (далее – решение);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услугополучателю расписку о приеме соответствующих документов,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приложению 5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тридцати минут). Результат процедуры (действия): предоставление документов руководителю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обеспечивает направление мотивированного отказа в Государственную корпорацию (в течение четырех рабочих дней).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установленным требованиям, направляет в коммунальные учреждения опросный лист для ТУ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день регистрации документов). Результат процедуры (действия): регистрация и выдача услугополучателю через Государственную корпорацию мотивированного отказа либо направление в коммунальные учреждения опросного листа для ТУ;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учреждения рассматривают опросный лист и подготавливают ТУ (в течение пяти рабочих дней). Результат процедуры (действия): направление ТУ услугодателю;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рассматривает ТУ, и на основании ТУ, а также предоставленных документов подготавливает: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несложных объектов (в течение одного рабочего дня);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несложных объектов (в течение девяти рабочих дней);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сложных объектов (в течение девяти рабочих дней);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сложных объектов (в течение одиннадцати рабочих дней);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и разрешительные документы – в течение четырнадцати рабочих дней (при дополнительном подключении и/или увеличении нагрузок – в течение девяти рабочих дней). Результат процедуры (действия): предоставление на подпись руководителю услугодателя проект результата оказания государственной услуги;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результат оказания государственной услуги (в течение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Государственной корпорации регистрирует результат оказания государственной услуги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93"/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коммунальные учреждения электроснабжения, газоснабжения, теплоснабжения, водоснабжения и канализации;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геоинформационный сервис акимата Кызылординской области (далее – "Геосервис").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стандарту (далее – электронный запрос), удостоверенный электронной цифровой подписью (далее – ЭЦП) услугополучателя. Результат процедуры (действия): направление пакета документов;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запрос, направляет в "личный кабинет" услугополучателя уведомление о принятии электронного запроса с указанием даты и времени приема запроса (не более тридцати минут). Результат процедуры (действия): предоставление документов руководителю услугодателя;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(не более одного часа). Результат процедуры (действия): направление документов исполнителю услугодателя;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 момента получения документов услугополучателя 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 (в течение двух рабочих дней). Результат процедуры (действия): направление отказа в рассмотрении заявления в "личный кабинет" услугополучателя;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отказ (в течение четырех рабочих дней). Результат процедуры (действия): направление мотивированного отказа в "личный кабинет" услугополучателя;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установленным требованиям, направляет в коммунальные учреждения опросный лист для ТУ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день регистрации документов). Результат процедуры (действия): направление опросного листа для ТУ в коммунальные учреждения;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учреждения рассматривают опросный лист и подготавливают ТУ (в течение пяти рабочих дней). Результат процедуры (действия): направление ТУ услугодателю;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ТУ, и на основании ТУ, а также предоставленных документов подготавливает: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несложных объектов (в течение одного рабочего дня);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несложных объектов (в течение девяти рабочих дней);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сложных объектов (в течение девяти рабочих дней);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сложных объектов (в течение одиннадцати рабочих дней);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и разрешительные документы – в течение четырнадцати рабочих дней (при дополнительном подключении и/или увеличении нагрузок – в течение девяти рабочих дней). Результат процедуры (действия): предоставление на подпись руководителю услугодателя проект результата оказания государственной услуги;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исполнителю услугодателя;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регистрирует результат оказания государственной услуги (не более тридцати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порядка использования информационной системы "Геосервис" в процессе оказания государственной услуги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получении услугополучателем ТУ через Геосервис.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Геосервисе и направляет в коммунальные учреждения опросный лист для 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форме электронного документа, удостоверенный ЭЦП услугополучателя. Результат процедуры (действия): направление опросного листа;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коммунальные учреждения на основании опросного листа подготавливают ТУ (в течение пяти рабочих дней). Результат процедуры (действия): направление услугополучателю ТУ через Геосервис;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услугополучатель регистрируется на портале и направляет электронный запрос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стандарту, удостоверенный ЭЦП услугополучателя, а также ТУ, полученные через Геосервис. Результат процедуры (действия): направление пакета документов и ТУ;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электронный запрос, а также ТУ, полученные через Геосервис, направляет в "личный кабинет" услугополучателя уведомление о принятии электронного запроса и ТУ с указанием даты и времени приема запроса (не более тридцати минут). Результат процедуры (действия): предоставление документов и ТУ руководителю услугодателя;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(не более одного часа). Результат процедуры (действия): направление документов и ТУ исполнителю услугодателя;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с момента получения документов услугополучателя 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 (в течение двух рабочих дней). Результат процедуры (действия): направление отказа в рассмотрении заявления в "личный кабинет" услугополучателя;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отказ (в течение четырех рабочих дней). Результат процедуры (действия): направление мотивированного отказа в "личный кабинет" услугополучателя;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на основании ТУ, а также предоставленных документов подготавливает: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несложных объектов (в течение одного рабочего дня);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несложных объектов (в течение девяти рабочих дней);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сложных объектов (в течение девяти рабочих дней);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сложных объектов (в течение одиннадцати рабочих дней);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и разрешительные документы (при дополнительном подключении и/или увеличении нагрузок) – в течение девяти рабочих дней. Результат процедуры (действия): предоставление на подпись руководителю услугодателя проект результата оказания государственной услуги;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исполнителю услугодателя;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исполнитель услугодателя регистрирует результат оказания государственной услуги (не более тридцати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57658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Геосервис: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47498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