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bbe6" w14:textId="e95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Майдакол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364. Зарегистрировано Департаментом юстиции Кызылординской области 30 декабря 2019 года № 7103.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Майдакол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182504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178917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183468,1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-964,1 тысяч тенге;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964,1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сферу культуры 545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благоустройство, на освещение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по обеспечению деятельности аппаратов акимов 1023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461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1412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благоустройство, на освещение 115216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2020 год за счет средств областного бюджета предусмотрены нижеследующие целевые текущие трансферты бюджету сельского округа Майдакол: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10824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26 декабря 2019 года № 364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Казалинского районного маслихата от 26 декабря 2019 года № 364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Майдакол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