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c7f2" w14:textId="60cc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Майдакол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364. Зарегистрировано Департаментом юстиции Кызылординской области 30 декабря 2019 года № 7103.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Майдакол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182985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179398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183949,1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сферу культуры 379 тысяч тенге;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Казалинского районного маслихата Кызылординской области от 18.05.2020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обеспечению деятельности аппаратов акимов 1273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18.05.2020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461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1412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благоустройство, на освещение 115216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28.10.2020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2020 год за счет средств областного бюджета предусмотрены нижеследующие целевые текущие трансферты бюджету сельского округа Майдакол: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благоустройство, освещение 11723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Казалинского районного маслихата Кызылординской области от 18.05.2020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Майдакол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Казалинского районного маслихата от 26 декабря 2019 года № 364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Майдакол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Казалинского районного маслихата от 26 декабря 2019 года № 364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Майдакол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