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9c5d" w14:textId="56d9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Аранды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355. Зарегистрировано Департаментом юстиции Кызылординской области 30 декабря 2019 года № 7125.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Аранды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137412,3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135256,3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137894,8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7437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соцальная помощь 362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2097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18.06.2020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2020 год предусмотрены нижеследующие целевые текущие трансферты бюджету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5296,3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обеспечению деятельности аппаратов акимов 1750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Казалинского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355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Аранды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355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Аранды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