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2b42" w14:textId="83e2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13 октября 2015 года № 307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мая 2019 года № 103. Зарегистрировано Департаментом юстиции Мангистауской области 29 мая 2019 года № 3908. Утратило силу постановлением акимата Мангистауской области от 28 февраля 2020 года № 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декабря 2018 года № 543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за № 18103)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регулирования использования водного фонда" (зарегистрировано в Реестре государственной регистрации нормативных правовых актов за № 2873, опубликовано 30 ноября 2015 года в информационно – 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за № 11765) (далее – Стандарт).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получение услугодателем заявления по форме согласно приложению 1 и иных документов услугополучателя (либо его представителя по доверенности), в том числе лиц, имеющих льготы,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 регламенте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"Предоставление водных объектов в обособленное или совместное пользование на конкурсной основе":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договор о представлении водного объекта в обособленное или совместное пользование между местными исполнительными органами области,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за № 11765) (далее – Стандарт).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получение услугодателем заявления в произвольной форме и иных документов услугополучателя (либо его представителя по доверенности), в том числе лиц, имеющих льготы,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(Кусбеков Д.Т.) обеспечить государственную регистрацию настоящего постановления в органах юстиции, его официальное опубликование настоящего постановления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Сакеева Р.К.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