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eaa5" w14:textId="24fe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23/266. Зарегистрировано Департаментом юстиции Мангистауской области 30 января 2019 года № 3813.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№3176, опубликовано 16 ноября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Мангистауском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в Мангистауском районе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декабря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приказами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№11342),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заболеваний и заболеваний, представляющих опасность для окружающих" (зарегистрировано в Реестре государственной регистрации нормативных правовых актов за №11512).";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– отдел Мангистауского района филиала некоммерческого акционерного общества "Государственная корпорация "Правительство для граждан" по Мангистауской области (далее – Центр);".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Махмутова 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