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b3dc" w14:textId="313b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9 декабря 2016 года № 549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апреля 2019 года № 166. Зарегистрировано Департаментом юстиции Костанайской области 29 апреля 2019 года № 8376.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регламентов государственных услуг в области животноводства"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6 января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6764)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местным исполнительным органом области (государственным учреждением "Управление сельского хозяйства и земельных отношений акимата Костанайской области") (далее – услугодатель).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утвержденному приказом Министра сельского хозяйства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3-2/378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под № 11284) (далее – Стандарт),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–электронная.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уведомление о статусе электронного запроса и сроке оказания государственной услуги,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"личный кабинет" услугополучателя на Портале;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Функциональные взаимодействия информационных систем, задействованных в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549 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государственная услуга) оказывается местным исполнительным органом области (государственное учреждение "Управление сельского хозяйства и земельных отношений акимата Костанайской области") (далее – услугодатель).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утвержденному приказом Министра сельского хозяйства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3-2/378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под № 11284) (далее – Стандарт).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2"/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через структурные подразделения (работников) услугодателя не оказывается. 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через структурные подразделения (работников) услугодателя не оказывается. 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уведомление о статусе электронного запроса и сроке оказания государственной услуги,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"личный кабинет" услугополучателя на Портале;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на адрес электронной почты и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на адрес электронной почты и в "личный кабинет" услугополучателя.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Функциональные взаимодействия информационных систем, задействованных в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перерабатывающих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ее глубокой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переработки"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