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087" w14:textId="460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апреля 2019 года № 178. Зарегистрировано Департаментом юстиции Костанайской области 3 мая 2019 года № 8396.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справки гражданам, единственное жилище которых признано аварийным".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178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справки гражданам, единственное жилище которых признано аварийным"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"Представление справки гражданам, единственное жилище которых признано аварийным"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‒ выдача справки о признании жилища аварийным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справки гражданам, единственное жилище которых признано аварийным", утвержденному приказом Министра по инвестициям и развитию Республики Казахстан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под № 18149)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 физического лица по документу, подтверждающего полномочия,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‒ пакет документов).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15 (пятнадцать)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4 (четыре) рабочих дня.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15 (пятнадцать) минут;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4 (четыре) рабочих дня;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единственное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которых 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аварийным"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"Представление справки гражданам, единственное жилище которых признано аварийным"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4168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