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8cbb" w14:textId="dba8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503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августа 2019 года № 343. Зарегистрировано Департаментом юстиции Костанайской области 16 августа 2019 года № 8624.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2015 года в газете "Қостанай таңы", зарегистрировано в Реестре государственной регистрации нормативных правовых актов под № 6062)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услугополучатель (либо его представитель по доверенности), в том числе лица, имеющие льготы (далее – услугополучатель), обращаются в Государственную корпорацию, работник Государственной корпорации проверяет правильность заполнения заявления,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