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463" w14:textId="2352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декабря 2019 года № 418. Зарегистрировано Департаментом юстиции Костанайской области 30 декабря 2019 года № 8846.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23 034 671,4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17 350 033,5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63 656,0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5 543 652,9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24 283 786,9 тысячи тенге;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951 040,1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951 040,1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-2 200 155,6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2 200 155,6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23.06.2020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03.08.2020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2020 год в сумме 237 749,0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32 192,0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205 557,0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2021 год в сумме 239 022,0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32 795,0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206 227,0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2022 год в сумме 241 268,0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33 543,0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207 725,0 тысяч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 в городской бюджет города Рудного, составляют на 2020 год – 0,0 тысяч тенге, на 2021 год – 0,0 тысяч тенге, на 2022 год – 0,0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2020 год в сумме 100 000,0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2020 год, не подлежащих секвестру в процессе исполнения городского бюджета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шестнадцатой очередной сессии, секретарь Рудненского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24 283 786,9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24 657 320,3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не подлежащих секвестру в процессе исполнения городского бюджета города Рудного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