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252e" w14:textId="dc22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30 декабря 2015 года № 4/705 "Об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июня 2019 года № 2/390. Зарегистрировано Департаментом юстиции города Алматы 19 июня 2019 года № 1569.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декабря 2015 года № 4/705 "Об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Алматы" (зарегистрировано в Реестре государственной регистрации нормативных правовых актов № 1247, опубликовано 9 февраля 2016 года в газетах "Алматы ақшамы" и "Вечерний Алматы")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разрешения на пользование животным миром"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(далее – Стандарт).";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 Стандарта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е государственной услуги "Государственная регистрация договора долгосрочного лесопользования на участках государственного лесного фонда":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– услугодатель), в соответствии со стандартом "Государственная регистрация договора долгосрочного лесопользования на участках государственного лесного фонда", утвержденным приказом Министерства сельского хозяйства Республики Казахстан от 6 мая 2015 года № 18-1/415 (далее – Стандарт).";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осуществление любительского (спортивного) рыболовства, мелиоративного лова, научно- 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 (далее – государственная услуга), оказывается коммунальным государственным учреждением "Государственный региональный природный парк "Медеу" Управления зеленой экономики города Алматы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6 мая 2015 года № 18-1/415 (далее – Стандарт).".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зеленой экономики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и размещением на интернет-ресурсе акимата города Алматы.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города Алматы возложить на заместителя акима города Алматы М. Сембекова.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на использование подземных вод питьевого качества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целей, не связанных с питьевым и хозяйственно-</w:t>
      </w:r>
      <w:r>
        <w:br/>
      </w:r>
      <w:r>
        <w:rPr>
          <w:rFonts w:ascii="Times New Roman"/>
          <w:b/>
          <w:i w:val="false"/>
          <w:color w:val="000000"/>
        </w:rPr>
        <w:t>бытовым водоснабжением на территориях, где</w:t>
      </w:r>
      <w:r>
        <w:br/>
      </w:r>
      <w:r>
        <w:rPr>
          <w:rFonts w:ascii="Times New Roman"/>
          <w:b/>
          <w:i w:val="false"/>
          <w:color w:val="000000"/>
        </w:rPr>
        <w:t xml:space="preserve"> отсутствуют поверхностные водные объекты, но имеются</w:t>
      </w:r>
      <w:r>
        <w:br/>
      </w:r>
      <w:r>
        <w:rPr>
          <w:rFonts w:ascii="Times New Roman"/>
          <w:b/>
          <w:i w:val="false"/>
          <w:color w:val="000000"/>
        </w:rPr>
        <w:t xml:space="preserve"> достаточные запасы подземных вод питьевого качества"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(далее - Стандарт).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пункте 9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с момента поступления документов регистрирует его, выдает расписку о приеме документов и передает его на рассмотрение канцелярии услугодателя (в течение 15 минут);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документы и направляет руководителю услугодателя на рассмотрение (в течение 1 часа);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заявление услугополучателя и отписывает руководителю отдела (в течение 1 рабочего дня);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заявление на соответствие предъявленным требованиям и отписывает на исполнение ответственному специалисту (в течение 30 минут);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услугодателя на подпись (в течение 27 календарных дней);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разрешение или мотивированный ответ об отказе и направляет в канцелярию услугодателя (в течение 1 рабочего дня);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регистрирует разрешение или мотивированный ответ об отказе и направляет в Государственную корпорацию (в течение 15 минут);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выдает услугополучателю разрешение или мотивированный ответ об отказе (в течение 15 минут).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Государственной корпорацией зарегистрированных документов в канцелярию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зарегистрированных документов руководителю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проекта разрешения или мотивированного ответа об отказе и направление на подпись руководителю услугодателя;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разрешения или мотивированного ответа об отказе в канцелярию услугодателя;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разрешения или мотивированного ответа об отказе в Государственную корпорацию;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разрешения или мотивированного ответа об отказе услугополучателю.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документы и направляет руководителю услугодателя на рассмотрение (в течение 30 минут);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заявление услугополучателя и отписывает руководителю отдела (в течение 1 календарного дня);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рассматривает заявление на соответствие предъявленным требованиям и отписывает на исполнение ответственному специалисту (в течение 30 минут);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на подпись (в течение 27 календарных дней);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разрешение или мотивированный ответ об отказе и направляет в канцелярию (в течение 1 календарного дня);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разрешение или мотивированный ответ об отказе и направляет Государственную корпорацию (в течение 15 минут).</w:t>
      </w:r>
    </w:p>
    <w:bookmarkEnd w:id="51"/>
    <w:bookmarkStart w:name="z5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услугодателями, а также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 xml:space="preserve"> процессе оказания государственной услуги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(в течение 15 минут).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на предмет полноты и соответствия законодательству, готовит результат оказания государственной услуги и направляет его в Государственную корпорацию.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Государственной корпорации на основании расписки.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поверхностные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</w:t>
      </w:r>
      <w:r>
        <w:br/>
      </w:r>
      <w:r>
        <w:rPr>
          <w:rFonts w:ascii="Times New Roman"/>
          <w:b/>
          <w:i w:val="false"/>
          <w:color w:val="000000"/>
        </w:rPr>
        <w:t xml:space="preserve"> обособленное или совместное пользование на конкурсной основе"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(далее - Стандарт).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 – Государственная корпорация).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и победителем конкурса в бумажном виде на основании решения местного исполнительного органа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пункте 9 Стандарта.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с момента поступления документов выдает расписку о приеме документов и направляет в канцелярию услугодателя, в случае представления услугополучателем неполного пакета документов выдает расписку об отказе в приеме документов (в течение 30 минут);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документы и передает их на рассмотрение руководителю услугодателя (в течение 30 минут);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заявление услугополучателя и отписывает на исполнение руководителю отдела (в течение 1 рабочего дня);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направляет документы в специально созданную комиссию (в течение 2 рабочих дней);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рассматривает документы и оформляет необходимый протокол (в течение 6 рабочих дней);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(в течение 2 рабочих дней);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 со дня подписания протокола об итогах конкурса направляет проект решения местного исполнительного органа для согласования и подписания (в течение 10 рабочих дней);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отдела услугодателя после получения решения из местного исполнительного органа разрабатывает проект договора о предоставлении водного объекта в обособленное или совместное пользование, или мотивированный ответ об отказе и направляет на подпись руководителю услугодателя (в течение 20 рабочих дней);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договор с услугополучателем или мотивированный ответ об отказе и направляет в канцелярию услугодателя (в течение 1 рабочего дня);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регистрирует и направляет подписанный договор или мотивированный ответ об отказе в Государственную корпорацию (в течение 30 минут);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выдает договор или мотивированный ответ об отказе услугополучателю (в течение 15 минут).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Государственной корпорацией зарегистрированных документов в канцелярию услугодателя;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руководителя услугодателя;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руководителю отдела;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в специально созданную комиссию;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 и оформление необходимых протоколов;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опубликование секретарем конкурсной комиссии протокола об итогах проведенного конкурса в средствах массовой информации и размещение на интернет-ресурсе;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проекта решения в местный исполнительный орган;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руководителем отдела на подпись руководителю после получения решения из местного исполнительного органа и разработка проекта договора о предоставлении водного объекта в обособленное или совместное пользование, или мотивированный ответ об отказе;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 или мотивированного ответа об отказе и направление в канцелярию услугодателя;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регистрация и направление подписанного договора или мотивированного ответа об отказе в Государственную корпорацию;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договора или мотивированного ответа об отказе Государственной корпорацией услугополучателю.</w:t>
      </w:r>
    </w:p>
    <w:bookmarkEnd w:id="91"/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услугодателя, которые участвуют в процессе оказания государственной услуги: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конкурсной комиссии.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документы и передает их на рассмотрение руководителю услугодателя (в течение 30 минут);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заявление услугополучателя и отписывает на исполнение руководителю отдела (в течение 1 рабочего дня);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направляет документы в специально созданную комиссию (в течение 2 рабочих дней);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документы и оформляет необходимый протокол (в течение 6 рабочих дней);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(в течение 2 рабочих дней);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со дня подписания протокола об итогах конкурса направляет проект решения местного исполнительного органа для согласования и подписания (в течение 10 рабочих дней);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после получения решения из местного исполнительного органа разрабатывает проект договора о предоставлении водного объекта в обособленное или совместное пользование, или мотивированный ответ об отказе и направляет на подпись руководителю услугодателя (в течение 20 рабочих дней);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договор с услугополучателем или мотивированный ответ об отказе и направляет в канцелярию услугодателя (в течение 1 рабочего дня);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и направляет подписанный договор или мотивированный ответ об отказе в Государственную корпорацию (в течение 30 минут).</w:t>
      </w:r>
    </w:p>
    <w:bookmarkEnd w:id="108"/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услугодателями, а также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 xml:space="preserve"> процессе оказания государственной услуги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на предмет полноты и соответствия законодательству, готовит результат оказания государственной услуги и направляет его в Государственную корпорацию.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Государственной корпорации на основании расписки.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совместное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bookmarkStart w:name="z1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</w:p>
    <w:bookmarkEnd w:id="117"/>
    <w:bookmarkStart w:name="z1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лесорубочного и лесного билета"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- Стандарт).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канцелярию услугодателя.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лесорубочного и (или) лесного билета в бумажной форме.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3"/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заявление, направляет руководителю услугодателя для резолюции (в течение 30 минут);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(в течение 1 часа);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 оформляет результат оказания государственной услуги, направляет на подпись руководителю услугодателя (в течение 2 календарных дней);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 услугодателя (в течение 1 часа);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результат оказания государственной услуги и выдает услугополучателю, вносит сведения о выданных разрешениях в информационную систему "Государственная база данных "Е-лицензирование" (в течение 30 минут).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направление заявления руководителю услугодателя;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и направление на подпись;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в канцелярию услугодателя;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результата оказания государственной услуги, внесение сведений в информационную систему "Государственная база данных "Е-лицензирование".</w:t>
      </w:r>
    </w:p>
    <w:bookmarkEnd w:id="137"/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канцелярией услугодателя принимает и регистрирует заявление, направляет руководителю услугодателя для резолюции (в течение 30 минут);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заявление и определяет ответственного исполнителя (в течение 1 часа);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и оформляет результат оказания государственной услуги, направляет на подпись руководителю услугодателя (в течение 2 рабочих дня);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в канцелярию услугодателя (в течение 1 часа);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результат оказания государственной услуги и выдает услугополучателю, вносит сведения о выданных разрешениях в информационную систему "Государственная база данных "Е-лицензирование" (в течение 30 минут).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