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313b" w14:textId="2e23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апреля 2019 года № 85. Зарегистрировано Департаментом юстиции Северо-Казахстанской области 12 апреля 2019 года № 5341.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13 сентября 2018 года № 264 (опубликовано 19 октября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4925).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2019 года № 85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Регламент) разработан на основании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11284), (далее – Стандарт).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Северо-Казахстанской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оказания государственной услуги – 5 (пять) рабочих дней.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(полностью автоматизированная).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13 к настоящему Регламенту.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оказывается по месту регистрации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действия по оказанию государственной услуги является предоставление услугополучателем, посредством портала в информационную систему субсидирования, заявки на получение субсидий в форме электронного документа, удостоверенного ЭЦП, по форме, согласно приложению 3 к Стандарту.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осуществляется с 1 марта по 1 декабря (включительно) соответствующего года.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подтверждает принятие заявки, путем подписания с использованием ЭЦП соответствующего уведомления – 1 (один) рабочий день;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направляет уведомление о результатах оказания государственной услуги в форме электронного документа на адрес электронной почты, указанный услугополучателем при регистрации в информационной системе субсидирования, также в "личный кабинет" услугополучателя – 2 (два) рабочих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направляет соответствующее уведомление о результатах оказания государственной услуги на электронный адрес и в "личный кабинет" услугополучателя.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подтверждает принятие заявки, путем подписания с использованием ЭЦП соответствующего уведомления – 1 (один) рабочий день;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направляет уведомление о результатах оказания государственной услуги в форме электронного документа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 – 2 (два) рабочих дня.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ЭЦП;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представляет в информационную систему субсидирования заявку на получение субсидий в форме электронного документа, удостоверенного ЭЦП;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подтверждает принятие заявки, путем подписания с использованием ЭЦП соответствующего уведомления;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в истории получения государственных услуг "личного кабинета" услугополучателя;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адрес электронной почты, указанный услугополучателем при регистрации на портале, также в "личный кабинет" информационной системы субсидирования результат оказания государственной услуги в форме электронного документа, подписанного ЭЦП;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уведомления о результатах оказания государственной услуги в форме электронного документа на адрес электронной почты, указанный при регистрации на портале, также в "личный кабинет" информационной системы субсидирования.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следующим основаниям: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заявки, представленных услугополучателем для получения государственной услуги, и (или) данных (сведений), содержащихся в них;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Правилами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(зарегистрирован в Министерстве юстиции Республики Казахстан 14 января 2015 года под № 10087).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сельского хозяйства Республики Казахстан – www.moa.gov.kz;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egov.kz.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через портал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