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cd86" w14:textId="2acc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культуры, являющимся гражданскими служащими и работающим в сельских населенных пунктах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апреля 2019 года № 34/3. Зарегистрировано Департаментом юстиции Северо-Казахстанской области 2 мая 2019 года № 5382.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ff0000"/>
          <w:sz w:val="28"/>
        </w:rPr>
        <w:t>№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оклады и тарифные ставки специалистам в области социального обеспечения, культуры, являющимся гражданскими служащими и работающим в сельских населенных пунктах Жамбылского района Северо-Казахстанской области, а также указанным специалистам, работающим в государственных организациях, финансируемых из местных бюджетов, по сравнению со ставками специалистов,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08.12.2021 </w:t>
      </w:r>
      <w:r>
        <w:rPr>
          <w:rFonts w:ascii="Times New Roman"/>
          <w:b w:val="false"/>
          <w:i w:val="false"/>
          <w:color w:val="000000"/>
          <w:sz w:val="28"/>
        </w:rPr>
        <w:t>№ 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но распространяется на правоотношения, возникшие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