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7e8c" w14:textId="0a67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условии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на территории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16 июля 2019 года № 345-VI. Зарегистрировано Департаментом юстиции Атырауской области 29 июля 2019 года № 4476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17-2 Закона Республики Казахстан от 19 декабря 2003 года "О рекламе",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мая 2019 года "Об утверждении Правил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пользования" (зарегистрированный в Реестре государственной регистрации нормативных правовых актов за № 18709), Атырауский областной маслихат VI созыва на внеочередной XXVIII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 условия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на территории Атырауской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Атырауского областного маслихата по вопросам бюджета, финансов, экономики и развития регионов (И. Баймуханов).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Кулгалиев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Зинуллин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Атырауского областного маслихата от "16" июля 2019 года № 345-VI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на территории Атырауской области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17-2 Закона Республики Казахстан от 19 декабря 2003 года "О рекламе",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мая 2019 года "Об утверждении Правил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пользования" (далее-Приказ).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и условия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реклама – информация, распространяемая и (или) размещаемая в любой форме с помощью любых средств, предназначенная для неопределенного круга лиц и призванная формировать или поддерживать интерес к физическому или юридическому лицу, товарам, товарным знакам, работам, услугам и способствовать их реализации;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рекламораспространитель – физическое или юридическое лицо, осуществляющее распространение и размещение рекламной информации путем предоставления и (или) использования имущества, в том числе технических средств телерадиовещания и иными способами;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вывеска – информация о наименовании и роде деятельности физических и юридических лиц, включая средства их индивидуализации, размещаемая в пределах входа в здание по числу входов в него и (или) на входе ограждения занимаемой территории, а также крышах и фасадах в пределах зданий, пристроек к ним и временных сооружений физических и юридических лиц в местах их фактического нахождения и реализации товаров, выполнения работ и оказания услуг;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наружная (визуальная) реклама – реклама, размещенная на объектах наружной (визуальной) рекламы и доступная визуальному восприятию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наружной (визуальной) рекламы – сооружения, различного рода объемные или плоскостные конструкции, в том числе экраны и электронные табло, световые конструкции, и иные средства, используемые для распространения и (или) размещения рекламы;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местный исполнительный орган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уличная мебель (оборудование) – объекты декоративного характера и практического использования (вазы для цветов, павильоны, беседки, скамьи, урны, остановки общественного транспорта, информационная панель, оборудование и конструкции для игр детей и отдыха взрослого населения), устанавливаемые в населенных пунктах на открытом пространстве за пределами помещений;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ненадлежащая реклама - недобросовестная, недостоверная, неэтичная, заведомо ложная и скрытая реклама, в которой допущены нарушения требований к ее содержанию, времени, месту и способу распространения, размещения, установленных законодательством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законодательством Республики Казахстан.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Размещение наружной (визуальной) рекламы осуществляется путем отображения и нанесения рекламных изображений и (или) информации на объектах наружной (визуальной) рекламы, в том числе, размещаемых на внешних сторонах зданий (сооружений).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Рекламные изображения и (или) информация на объектах наружной (визуальной) рекламы не используются для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распространения сведений, составляющих государственные секреты Республики Казахстан и иные охраняемые законом тайны.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Реклама не должна порочить объекты искусства, составляющие мировое или национальное культурное достояние, государственные символы (гербы, флаги, гимны), валюту любого государства, религиозные символы, какие-либо физические или юридические лица, деятельность, профессию и товар.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Размещение объектов наружной (визуальной) рекламы, в том числе указателей, осуществляется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законодательством Республики Казахстан об архитектурной, градостроительной и строительной деятельности, автомобильных дорогах и дорожном движении.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наружной (визуальной) рекламе не относятся: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вывеска;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режиме работы;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афиши культурных, спортивных и спортивно-массовых мероприятий, размещаемые в специально отведенных местах;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индивидуализация технических средств обслуживания и транспортных средств;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информация о видах нефтепродуктов, ценах на нефтепродукты, наименовании и логотипе продавца, размещаемая при въезде на автозаправочные станции;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информация (сведения) о культурных ценностях и (или) об объектах историко-культурного наследия, в том числе о памятниках истории и культуры;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информация, содержащая сведения о курсах покупки и (или) продажи наличной иностранной валюты за тенге, размещаемая возле обменных пунктов;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внутреннее оформление витрин и окон для внешнего визуального восприятия следующего характера: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товарная продукция, размещаемая внутри помещений;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оказываемых услуг;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индивидуализации;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декоративное и праздничное оформление.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Допускается размещение наружной (визуальной) рекламы на уличной мебели (оборудовании), устанавливаемой местными исполнительными органами либо инвесторами за счет собственных средств на основании соответствующих договоров с местными исполнительными органами, заключенных на основании итогов проведенных открытых конкурсов. Инвесторами могут быть физические и юридические лица.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Земельные участки из земель общего пользования, за исключением тротуаров и велосипедных дорожек, предоставляются гражданам и юридическим лицам во временное землепользование под размещение объектов наружной (визуальной) рекламы без ущерба для общего пользования.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Участки земель полосы отвода автомобильных дорог общего пользования предоставляются для размещения объектов наружной (визуальной) рекламы при условиях недопущения снижения транспортно-эксплуатационных качеств дороги, соблюдения требований безопасности движения транспортных средств и охраны окружающей среды.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размещение наружной (визуальной) рекламы на памятниках истории и культуры и в их охранных зонах, на культовых зданиях (сооружениях) и на отведенной им территории и их ограждениях, а также на особо охраняемых природных территориях.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Размещение наружной (визуальной) рекламы на объектах наружной (визуальной) рекламы допускается при условии направления уведомления о размещении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Не допускается самовольное размещение наружной (визуальной) рекламы без соответствующего уведомления местных исполнительных органов.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Уведомления направляются рекламораспространителями, размещающими наружную (визуальную) рекламу: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местные исполнительные органы городов республиканского значения, столицы, городов областного значения – при размещении наружной (визуальной) рекламы на открытом пространстве за пределами помещений в городах республиканского значения, столице, городах областного значения, в полосе отвода автомобильных дорог общего пользования, проходящих через территории городов республиканского значения, столицы, городов областного значения;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местные исполнительные органы районов – при размещении наружной (визуальной) рекламы на открытом пространстве за пределами помещений в городах районного значения, селах, поселках, в полосе отвода автомобильных дорог общего пользования, проходящих через территории городов районного значения, сел, поселков, сельских округов,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Уведомление направляется не менее чем за пять рабочих дней до предполагаемой даты размещения наружной (визуальной) рекламы на объектах наружной (визуальной) рекламы.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 уведомлению прилагаются: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сведений, содержащая информацию о периоде и месте размещения наружной (визуальной) рекламы;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подтверждающий внесение платы за первый месяц размещения наружной (визуальной) рекламы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(далее – Налоговый кодекс);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рекламы в произвольной форме на казахском и русском языках с приложением ее эскизов.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первый и последующие месяцы размещения наружной (визуальной) рекламы рассчитывается в соответствии с базовыми ежемесячными ставками, утвержденными Налоговым кодексом, исходя из места расположения и площади стороны размещения наружной (визуальной) рекламы, в том числе изображений, видеоизображений, бегущих строк на государственном и русском языках на стороне размещения объекта наружной (визуальной) рекламы в течение уплаченного месяца.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наружной (визуальной) рекламы на площади стороны объекта наружной (визуальной) рекламы в течение уплаченного календарного месяца, осуществляется путем направления уведомления с приложением документа, подтверждающим ранее внесенную плату за сторону размещения наружной (визуальной) рекламы.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Изображения и видеоизображения, размещаемые внутри помещения, относятся к внутреннему оформлению витрин и окон для внешнего визуального восприятия, характеризующие товарную продукцию и виды оказываемых услуг.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Местные исполнительные органы дают обязательные для устранения письменные мотивированные замечания к представленным материалам по уведомлению.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местными исполнительными органами замечаний наружная (визуальная) реклама может быть размещена только при условии устранения замечаний.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непредставления местными исполнительными органами ответа в течение четырех рабочих дней со дня получения уведомления заявитель может разместить наружную (визуальную) рекламу в заявленные им сроки.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Размещение рекламы на транспортных средствах осуществляется без направления уведомления о размещении наружной (визуальной) рекламы и без взимания платы за размещение наружной (визуальной) рекламы.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За размещение наружной (визуальной) рекламы на объектах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взимается плата в порядке и размерах, установленных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7"/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Размещение наружной (визуальной) рекламы осуществляется на основе договора с собственниками объектов наружной (визуальной) рекламы или с лицами, обладающими иными вещными правами на объекты наружной (визуальной) рекламы, если законом или договором не предусмотрено иное.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