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61fa" w14:textId="dcc6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сентября 2019 года № 366. Зарегистрировано Департаментом юстиции Атырауской области 26 сентября 2019 года № 4495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Махамбетского районного маслихата Атырауской области от 07.04.2023 № </w:t>
      </w:r>
      <w:r>
        <w:rPr>
          <w:rFonts w:ascii="Times New Roman"/>
          <w:b w:val="false"/>
          <w:i w:val="false"/>
          <w:color w:val="ff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соблюдения законности, экономики и бюджета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Махамбетского районного маслихата Атырауской области от 16.04.2021 № </w:t>
      </w:r>
      <w:r>
        <w:rPr>
          <w:rFonts w:ascii="Times New Roman"/>
          <w:b w:val="false"/>
          <w:i w:val="false"/>
          <w:color w:val="ff0000"/>
          <w:sz w:val="28"/>
        </w:rPr>
        <w:t>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государственным учреждением "Махамбетский районный отдел занятости и социальных программ".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12.03.2024 №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Махамбетского района.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(пять) месячных расчетных показателя.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07.04.2023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