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88a" w14:textId="0ae6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декабря 2017 года № 319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апреля 2019 года № 117. Зарегистрировано Департаментом юстиции Восточно-Казахстанской области 25 апреля 2019 года № 5887.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января 2019 года № 30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животноводство" (зарегистрированным в Реестре государственной регистрации нормативных правовых актов за номером 18246),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от 5 декабря 2017 года № 319 (зарегистрированное в Реестре государственной регистрации нормативных правовых актов за номером 5345, опубликованное в Эталонном контрольном банке нормативных правовых актов Республики Казахстан в электронном виде 28 декабря 2017 года, газетах "Дидар" и "Рудный Алтай" от 30 декабря 2017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2019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 № 319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перерабатывающих предприятий на закуп сельскохозяйственной продукции для производства продуктов ее глубокой переработки" (далее - государственная услуга) оказывается местным исполнительным органом области (управлением сельского хозяйства области) (далее -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-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–уведомление о перечислении субсидии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(зарегистрированным в Реестре государственной регистрации нормативных правовых актов за номером 11284) (далее - Стандарт).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также в "личный кабинет" информационной системы субсидирования.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посредством портала представляет в информационную систему субсидирования заявку на получение субсидий в форме электронного документа, удостоверенного электронной цифровой подписью (далее - ЭЦП),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регистрируется в информационной системе субсидирования путем ее подписания ЭЦП услугополучателя. Становится доступной в Личном кабинете услугодателя. На электронный адрес услугодателя направляется электронное извещение о поступлении на рассмотрение заявки.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3 (трех) рабочих дней после подтверждения услугодателем принятия заявки.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подачи обращения – 3 (три) рабочих дня.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уведомление о приеме электронной заявки, услогополучателя которое служит основанием для начала выполнения действия 2.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являются сформированные платежные поручения к оплате для дальнейшего перечисления причитающихся субсидий на банковские счета услугополучателей.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территориальное подразделение казначейства.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на электронный адрес услугодателя извещения о поступлении на рассмотрение заявки услугополучателя услугодатель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 в случае самостоятельной регистрации. Длительность выполнения – в течение 1 (одного) рабочего дня с момента регистрации заявки;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"Казначейство-Клиент". Длительность выполнения – в течение 2 (двух) рабочих дней после подтверждения услугодателя принятия заявки.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9.Порядок обращения и последовательность процедур (действий)услугополучателя и услугодателя, при оказании государственной услуги через портал: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подписанного ЭЦП, которое хранится в интернет-браузере компьютера услугополучателя (осуществляется для незарегистрированных услугополучателей на портал);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логин ИИН/БИН и пароль;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услугополучателем регистрационного свидетельства ЭЦП для удостоверения (подписания) запроса;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соответствия идентификационных данных между ИИН/БИН, указанных в запросе, и ИИН/БИН, указанных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регистрационном свидетельстве ЭЦП, а также в ЕНИС - данных доверенности представителя услугополучателя;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4-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получение услугополучателем результата государственной услуги (уведомление в "личный кабинет" услугополучателя, о перечислении субсидий или мотивированный отказ в форме электронного документа, удостоверенного ЭЦП уполномоченного лица услугодателя.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через услугодателя,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-бизнес-идентификационный номер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-государственная база данных "Физические лица"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-государственная база данных "Юридические лица"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затрат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перерабатывающих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ее глубокой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переработки"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