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c569" w14:textId="ae4c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26 декабря 2018 года № 27/206-VI "О бюджете города Курчатов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 июля 2019 года № 34/258-VI. Зарегистрировано Департаментом юстиции Восточно-Казахстанской области 5 июля 2019 года № 6060. Утратило силу решением Курчатовского городского маслихата Восточно-Казахстанской области от 6 января 2020 года № 37/293-VI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Курчатовского городского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6024) Курчатовский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26 декабря 2018 года № 27/206-VI "О бюджете города Курчатов на 2019-2021 годы" (зарегистрировано в Реестре государственной регистрации нормативных правовых актов за номером 5-3-135,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3 415 501,0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1 118 170,0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13 962,0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3 019,0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2 280 350,0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3 483 806,4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-30 000,0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- 38 305,4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38 305,4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68 305,4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городском бюджете на 2019 год целевые текущие трансферты из областного бюджета в сумме 329 367,0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2019 год целевые текущие трансферты из республиканского бюджета в сумме 218 041,0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2019 год целевые трансферты на развитие из республиканского бюджета в сумме 1 238 664,0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34/258-VІ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27/206-VІ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3 415 501,0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510 234,3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510 234,3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436 736,5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436 736,5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139 384,5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28 979,7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3 951,7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2 280 350,0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3 483 806,4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261 110,2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155 958,7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133 482,7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104 728,5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20 972,5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1 025 174,6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78 143,8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707 196,9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707 196,9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609 434,8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40 643,1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116 633,7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126 153,6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126 153,6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54 894,6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1 477 115,0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1 223 947,0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1 185 947,0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206 664,6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197 725,3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36 421,2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