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509" w14:textId="99d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мая 2019 года № 32/7-VI. Зарегистрировано Департаментом юстиции Восточно-Казахстанской области 10 июня 2019 года № 5997.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Глубоковским районным акиматом и утверждаются решением Глубоковского районного маслихата.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Глубоковским районным маслихатом в кратном отношении к прожиточному минимуму;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Глубоковского района.";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6-1;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2-1), 5) и 7)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приведшему к социальной дезадаптации и социальной депривации;";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дети из многодетных семей и дети с особыми образовательными потребностями, посещающие дошкольные организации;";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Установить порог среднедушевого дохода в размере шестикратной величины прожиточного минимума для категории получателей указанной в подпункте 10-1) пункта 6-1 настоящих Правил.".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