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ca39" w14:textId="471c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21 октября 2019 года № 531. Зарегистрировано Департаментом юстиции Восточно-Казахстанской области 31 октября 2019 года № 6237. Утратило силу постановлением акимата Зайсанского района Восточно-Казахстанской области от 4 мая 2020 года № 225</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Зайсанского района Восточно-Казахстанской области от 04.05.2020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подпунктами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Зайсанского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лиц, освобожденных из мест лишения свободы в размере 1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Зайсанского района от 28 февраля 2018 года № 164 "Об установлении квоты рабочих мест для трудоустройства лиц, состоящих на учете службы пробации, а также лиц, освобожденных из мест лишения свободы" (зарегистрирован в Реестре государственной регистрации нормативных правовых актов за № 5540, опубликован в Эталонном контрольном банке нормативных правовых актов 19 марта 2018 года).</w:t>
      </w:r>
    </w:p>
    <w:bookmarkEnd w:id="3"/>
    <w:bookmarkStart w:name="z10"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от "21" октября 2019 года № 531</w:t>
            </w:r>
          </w:p>
        </w:tc>
      </w:tr>
    </w:tbl>
    <w:bookmarkStart w:name="z13"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3260"/>
        <w:gridCol w:w="2211"/>
        <w:gridCol w:w="3086"/>
        <w:gridCol w:w="2116"/>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"СК-Зайсан"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