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5d68" w14:textId="8045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16 мая 2019 года № 212. Зарегистрировано Департаментом юстиции Восточно-Казахстанской области 21 мая 2019 года № 5963</w:t>
      </w:r>
    </w:p>
    <w:p>
      <w:pPr>
        <w:spacing w:after="0"/>
        <w:ind w:left="0"/>
        <w:jc w:val="both"/>
      </w:pPr>
      <w:bookmarkStart w:name="z5"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Алтай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2019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2019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Алтай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16 мая 2019 года № 212</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5066"/>
        <w:gridCol w:w="1591"/>
        <w:gridCol w:w="2851"/>
        <w:gridCol w:w="1176"/>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"Alem-Oil"</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"Коррекционная школа-интернат №1" Управления образования Восточно-Казахстанской области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социального обслуживания инвалидов и престарелых района Алтай"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филиал товарищество с ограниченной ответственностью "АБК Автодор НС"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16 мая 2019 года № 212</w:t>
            </w:r>
          </w:p>
        </w:tc>
      </w:tr>
    </w:tbl>
    <w:bookmarkStart w:name="z16"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освобожденных из мест лишения свободы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5066"/>
        <w:gridCol w:w="1591"/>
        <w:gridCol w:w="2851"/>
        <w:gridCol w:w="1176"/>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"Alem-Oil"</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"Бухтарминская цементная компания"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"Алтай Тәртіп"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филиал товарищество с ограниченной ответственностью "АБК Автодор НС"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16 мая 2019 года № 212</w:t>
            </w:r>
          </w:p>
        </w:tc>
      </w:tr>
    </w:tbl>
    <w:bookmarkStart w:name="z18"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состоящих на учете службы пробации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5066"/>
        <w:gridCol w:w="1591"/>
        <w:gridCol w:w="2851"/>
        <w:gridCol w:w="1176"/>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"Alem-Oil"</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"Бухтарминская цементная компания"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"Алтай Тәртіп"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