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7520" w14:textId="8eb7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Катон-Карагайского районного маслихата от 23 декабря 2014 года № 28/214-V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7 ноября 2019 года № 33/283-VI. Зарегистрировано Департаментом юстиции Восточно-Казахстанской области 29 ноября 2019 года № 6324. Утратило силу решением Катон-Карагайского районного маслихата Восточно-Казахстанской области от 12 апреля 2024 года № 15/180-VIII</w:t>
      </w:r>
    </w:p>
    <w:p>
      <w:pPr>
        <w:spacing w:after="0"/>
        <w:ind w:left="0"/>
        <w:jc w:val="both"/>
      </w:pPr>
      <w:bookmarkStart w:name="z5" w:id="0"/>
      <w:r>
        <w:rPr>
          <w:rFonts w:ascii="Times New Roman"/>
          <w:b w:val="false"/>
          <w:i w:val="false"/>
          <w:color w:val="ff0000"/>
          <w:sz w:val="28"/>
        </w:rPr>
        <w:t xml:space="preserve">
      Сноска. Утратило силу решением Катон-Карагайского районного маслихата Восточно-Казахстанской области от 12.04.2024 </w:t>
      </w:r>
      <w:r>
        <w:rPr>
          <w:rFonts w:ascii="Times New Roman"/>
          <w:b w:val="false"/>
          <w:i w:val="false"/>
          <w:color w:val="ff0000"/>
          <w:sz w:val="28"/>
        </w:rPr>
        <w:t>№ 15/180-VIII</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Катон-Карагайский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Катон-Карагайского районного маслихата № 28/214-V от 23 декабря 2014 года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3643, опубликовано 04 февраля 2015 года в газете "Луч"),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утвержденных указанным </w:t>
      </w:r>
      <w:r>
        <w:rPr>
          <w:rFonts w:ascii="Times New Roman"/>
          <w:b w:val="false"/>
          <w:i w:val="false"/>
          <w:color w:val="000000"/>
          <w:sz w:val="28"/>
        </w:rPr>
        <w:t>решением</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Кешильбаев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7 ноября 2019 года </w:t>
            </w:r>
            <w:r>
              <w:br/>
            </w:r>
            <w:r>
              <w:rPr>
                <w:rFonts w:ascii="Times New Roman"/>
                <w:b w:val="false"/>
                <w:i w:val="false"/>
                <w:color w:val="000000"/>
                <w:sz w:val="20"/>
              </w:rPr>
              <w:t>№ 33/283-VI</w:t>
            </w:r>
          </w:p>
        </w:tc>
      </w:tr>
    </w:tbl>
    <w:bookmarkStart w:name="z14"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15" w:id="5"/>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5"/>
    <w:bookmarkStart w:name="z16" w:id="6"/>
    <w:p>
      <w:pPr>
        <w:spacing w:after="0"/>
        <w:ind w:left="0"/>
        <w:jc w:val="left"/>
      </w:pPr>
      <w:r>
        <w:rPr>
          <w:rFonts w:ascii="Times New Roman"/>
          <w:b/>
          <w:i w:val="false"/>
          <w:color w:val="000000"/>
        </w:rPr>
        <w:t xml:space="preserve"> 1. Общие положения</w:t>
      </w:r>
    </w:p>
    <w:bookmarkEnd w:id="6"/>
    <w:bookmarkStart w:name="z17"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используются основные понятия:</w:t>
      </w:r>
    </w:p>
    <w:bookmarkEnd w:id="7"/>
    <w:bookmarkStart w:name="z18" w:id="8"/>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8"/>
    <w:bookmarkStart w:name="z19" w:id="9"/>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20" w:id="10"/>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0"/>
    <w:bookmarkStart w:name="z21"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и социальных программ Катон-Карагайского района", финансируемое за счет средств местного бюджета, осуществляющий назначение жилищной помощи;</w:t>
      </w:r>
    </w:p>
    <w:bookmarkEnd w:id="11"/>
    <w:bookmarkStart w:name="z22" w:id="12"/>
    <w:p>
      <w:pPr>
        <w:spacing w:after="0"/>
        <w:ind w:left="0"/>
        <w:jc w:val="both"/>
      </w:pP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12"/>
    <w:bookmarkStart w:name="z23" w:id="13"/>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3"/>
    <w:bookmarkStart w:name="z24" w:id="14"/>
    <w:p>
      <w:pPr>
        <w:spacing w:after="0"/>
        <w:ind w:left="0"/>
        <w:jc w:val="both"/>
      </w:pPr>
      <w:r>
        <w:rPr>
          <w:rFonts w:ascii="Times New Roman"/>
          <w:b w:val="false"/>
          <w:i w:val="false"/>
          <w:color w:val="000000"/>
          <w:sz w:val="28"/>
        </w:rPr>
        <w:t>
      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4"/>
    <w:bookmarkStart w:name="z25" w:id="15"/>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5"/>
    <w:bookmarkStart w:name="z26" w:id="16"/>
    <w:p>
      <w:pPr>
        <w:spacing w:after="0"/>
        <w:ind w:left="0"/>
        <w:jc w:val="both"/>
      </w:pPr>
      <w:r>
        <w:rPr>
          <w:rFonts w:ascii="Times New Roman"/>
          <w:b w:val="false"/>
          <w:i w:val="false"/>
          <w:color w:val="000000"/>
          <w:sz w:val="28"/>
        </w:rPr>
        <w:t>
      1) расходов на содержание общего имущества объекта кондоминиума (гражданам), проживающим в приватизированных жилых помещения (квартирах) или являющимся нанимателями (поднанимателями) жилых помещений (квартир) в государственном жилищном фонде;</w:t>
      </w:r>
    </w:p>
    <w:bookmarkEnd w:id="16"/>
    <w:bookmarkStart w:name="z27" w:id="17"/>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7"/>
    <w:bookmarkStart w:name="z28" w:id="18"/>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8"/>
    <w:bookmarkStart w:name="z29" w:id="19"/>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9"/>
    <w:bookmarkStart w:name="z30" w:id="20"/>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20"/>
    <w:bookmarkStart w:name="z31" w:id="21"/>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21"/>
    <w:bookmarkStart w:name="z32" w:id="22"/>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22"/>
    <w:bookmarkStart w:name="z33" w:id="23"/>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3"/>
    <w:bookmarkStart w:name="z34" w:id="24"/>
    <w:p>
      <w:pPr>
        <w:spacing w:after="0"/>
        <w:ind w:left="0"/>
        <w:jc w:val="left"/>
      </w:pPr>
      <w:r>
        <w:rPr>
          <w:rFonts w:ascii="Times New Roman"/>
          <w:b/>
          <w:i w:val="false"/>
          <w:color w:val="000000"/>
        </w:rPr>
        <w:t xml:space="preserve"> 2. Порядок назначения жилищной помощи</w:t>
      </w:r>
    </w:p>
    <w:bookmarkEnd w:id="24"/>
    <w:bookmarkStart w:name="z35" w:id="25"/>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25"/>
    <w:bookmarkStart w:name="z36" w:id="26"/>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6"/>
    <w:bookmarkStart w:name="z37" w:id="27"/>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7"/>
    <w:bookmarkStart w:name="z38" w:id="28"/>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28"/>
    <w:bookmarkStart w:name="z39" w:id="2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9"/>
    <w:bookmarkStart w:name="z40" w:id="30"/>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30"/>
    <w:bookmarkStart w:name="z41" w:id="31"/>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31"/>
    <w:bookmarkStart w:name="z42" w:id="32"/>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32"/>
    <w:bookmarkStart w:name="z43" w:id="33"/>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3"/>
    <w:bookmarkStart w:name="z44" w:id="34"/>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34"/>
    <w:bookmarkStart w:name="z45" w:id="35"/>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5"/>
    <w:bookmarkStart w:name="z46" w:id="36"/>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6"/>
    <w:bookmarkStart w:name="z47" w:id="37"/>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37"/>
    <w:bookmarkStart w:name="z48" w:id="38"/>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38"/>
    <w:bookmarkStart w:name="z49" w:id="39"/>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9"/>
    <w:bookmarkStart w:name="z50" w:id="40"/>
    <w:p>
      <w:pPr>
        <w:spacing w:after="0"/>
        <w:ind w:left="0"/>
        <w:jc w:val="both"/>
      </w:pPr>
      <w:r>
        <w:rPr>
          <w:rFonts w:ascii="Times New Roman"/>
          <w:b w:val="false"/>
          <w:i w:val="false"/>
          <w:color w:val="000000"/>
          <w:sz w:val="28"/>
        </w:rPr>
        <w:t>
      17. Жилищная помощь не оказывается семьям:</w:t>
      </w:r>
    </w:p>
    <w:bookmarkEnd w:id="40"/>
    <w:bookmarkStart w:name="z51" w:id="41"/>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41"/>
    <w:bookmarkStart w:name="z52" w:id="42"/>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42"/>
    <w:bookmarkStart w:name="z53" w:id="43"/>
    <w:p>
      <w:pPr>
        <w:spacing w:after="0"/>
        <w:ind w:left="0"/>
        <w:jc w:val="both"/>
      </w:pPr>
      <w:r>
        <w:rPr>
          <w:rFonts w:ascii="Times New Roman"/>
          <w:b w:val="false"/>
          <w:i w:val="false"/>
          <w:color w:val="000000"/>
          <w:sz w:val="28"/>
        </w:rPr>
        <w:t>
      18. Семьи, в которых безработные члены семьи без уважительных причин отказались от предложенной уполномоченным органом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3"/>
    <w:bookmarkStart w:name="z54" w:id="44"/>
    <w:p>
      <w:pPr>
        <w:spacing w:after="0"/>
        <w:ind w:left="0"/>
        <w:jc w:val="both"/>
      </w:pPr>
      <w:r>
        <w:rPr>
          <w:rFonts w:ascii="Times New Roman"/>
          <w:b w:val="false"/>
          <w:i w:val="false"/>
          <w:color w:val="000000"/>
          <w:sz w:val="28"/>
        </w:rPr>
        <w:t>
      19.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44"/>
    <w:bookmarkStart w:name="z55" w:id="45"/>
    <w:p>
      <w:pPr>
        <w:spacing w:after="0"/>
        <w:ind w:left="0"/>
        <w:jc w:val="both"/>
      </w:pPr>
      <w:r>
        <w:rPr>
          <w:rFonts w:ascii="Times New Roman"/>
          <w:b w:val="false"/>
          <w:i w:val="false"/>
          <w:color w:val="000000"/>
          <w:sz w:val="28"/>
        </w:rPr>
        <w:t>
      20.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45"/>
    <w:bookmarkStart w:name="z56" w:id="46"/>
    <w:p>
      <w:pPr>
        <w:spacing w:after="0"/>
        <w:ind w:left="0"/>
        <w:jc w:val="both"/>
      </w:pPr>
      <w:r>
        <w:rPr>
          <w:rFonts w:ascii="Times New Roman"/>
          <w:b w:val="false"/>
          <w:i w:val="false"/>
          <w:color w:val="000000"/>
          <w:sz w:val="28"/>
        </w:rPr>
        <w:t>
      21.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46"/>
    <w:bookmarkStart w:name="z57" w:id="47"/>
    <w:p>
      <w:pPr>
        <w:spacing w:after="0"/>
        <w:ind w:left="0"/>
        <w:jc w:val="both"/>
      </w:pPr>
      <w:r>
        <w:rPr>
          <w:rFonts w:ascii="Times New Roman"/>
          <w:b w:val="false"/>
          <w:i w:val="false"/>
          <w:color w:val="000000"/>
          <w:sz w:val="28"/>
        </w:rPr>
        <w:t>
      22.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47"/>
    <w:bookmarkStart w:name="z58" w:id="48"/>
    <w:p>
      <w:pPr>
        <w:spacing w:after="0"/>
        <w:ind w:left="0"/>
        <w:jc w:val="both"/>
      </w:pPr>
      <w:r>
        <w:rPr>
          <w:rFonts w:ascii="Times New Roman"/>
          <w:b w:val="false"/>
          <w:i w:val="false"/>
          <w:color w:val="000000"/>
          <w:sz w:val="28"/>
        </w:rPr>
        <w:t>
      23.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48"/>
    <w:bookmarkStart w:name="z59" w:id="49"/>
    <w:p>
      <w:pPr>
        <w:spacing w:after="0"/>
        <w:ind w:left="0"/>
        <w:jc w:val="both"/>
      </w:pPr>
      <w:r>
        <w:rPr>
          <w:rFonts w:ascii="Times New Roman"/>
          <w:b w:val="false"/>
          <w:i w:val="false"/>
          <w:color w:val="000000"/>
          <w:sz w:val="28"/>
        </w:rPr>
        <w:t>
      24.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49"/>
    <w:bookmarkStart w:name="z60" w:id="50"/>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50"/>
    <w:bookmarkStart w:name="z61" w:id="51"/>
    <w:p>
      <w:pPr>
        <w:spacing w:after="0"/>
        <w:ind w:left="0"/>
        <w:jc w:val="both"/>
      </w:pPr>
      <w:r>
        <w:rPr>
          <w:rFonts w:ascii="Times New Roman"/>
          <w:b w:val="false"/>
          <w:i w:val="false"/>
          <w:color w:val="000000"/>
          <w:sz w:val="28"/>
        </w:rPr>
        <w:t>
      25.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1"/>
    <w:bookmarkStart w:name="z62" w:id="52"/>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52"/>
    <w:bookmarkStart w:name="z63" w:id="53"/>
    <w:p>
      <w:pPr>
        <w:spacing w:after="0"/>
        <w:ind w:left="0"/>
        <w:jc w:val="both"/>
      </w:pPr>
      <w:r>
        <w:rPr>
          <w:rFonts w:ascii="Times New Roman"/>
          <w:b w:val="false"/>
          <w:i w:val="false"/>
          <w:color w:val="000000"/>
          <w:sz w:val="28"/>
        </w:rPr>
        <w:t>
      26.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3"/>
    <w:bookmarkStart w:name="z64" w:id="54"/>
    <w:p>
      <w:pPr>
        <w:spacing w:after="0"/>
        <w:ind w:left="0"/>
        <w:jc w:val="both"/>
      </w:pPr>
      <w:r>
        <w:rPr>
          <w:rFonts w:ascii="Times New Roman"/>
          <w:b w:val="false"/>
          <w:i w:val="false"/>
          <w:color w:val="000000"/>
          <w:sz w:val="28"/>
        </w:rPr>
        <w:t>
      27. Доля предельно допустимых расходов семьи устанавливается к совокупному доходу семьи в размере 11%.</w:t>
      </w:r>
    </w:p>
    <w:bookmarkEnd w:id="54"/>
    <w:bookmarkStart w:name="z65" w:id="55"/>
    <w:p>
      <w:pPr>
        <w:spacing w:after="0"/>
        <w:ind w:left="0"/>
        <w:jc w:val="both"/>
      </w:pPr>
      <w:r>
        <w:rPr>
          <w:rFonts w:ascii="Times New Roman"/>
          <w:b w:val="false"/>
          <w:i w:val="false"/>
          <w:color w:val="000000"/>
          <w:sz w:val="28"/>
        </w:rPr>
        <w:t>
      28. При расчете размера жилищной помощи учитываются следующие нормы:</w:t>
      </w:r>
    </w:p>
    <w:bookmarkEnd w:id="55"/>
    <w:bookmarkStart w:name="z66" w:id="56"/>
    <w:p>
      <w:pPr>
        <w:spacing w:after="0"/>
        <w:ind w:left="0"/>
        <w:jc w:val="both"/>
      </w:pPr>
      <w:r>
        <w:rPr>
          <w:rFonts w:ascii="Times New Roman"/>
          <w:b w:val="false"/>
          <w:i w:val="false"/>
          <w:color w:val="000000"/>
          <w:sz w:val="28"/>
        </w:rPr>
        <w:t>
      1) площади:</w:t>
      </w:r>
    </w:p>
    <w:bookmarkEnd w:id="56"/>
    <w:bookmarkStart w:name="z67" w:id="57"/>
    <w:p>
      <w:pPr>
        <w:spacing w:after="0"/>
        <w:ind w:left="0"/>
        <w:jc w:val="both"/>
      </w:pPr>
      <w:r>
        <w:rPr>
          <w:rFonts w:ascii="Times New Roman"/>
          <w:b w:val="false"/>
          <w:i w:val="false"/>
          <w:color w:val="000000"/>
          <w:sz w:val="28"/>
        </w:rPr>
        <w:t>
      для одиноко проживающих граждан – 30 кв.м,</w:t>
      </w:r>
    </w:p>
    <w:bookmarkEnd w:id="57"/>
    <w:bookmarkStart w:name="z68" w:id="58"/>
    <w:p>
      <w:pPr>
        <w:spacing w:after="0"/>
        <w:ind w:left="0"/>
        <w:jc w:val="both"/>
      </w:pPr>
      <w:r>
        <w:rPr>
          <w:rFonts w:ascii="Times New Roman"/>
          <w:b w:val="false"/>
          <w:i w:val="false"/>
          <w:color w:val="000000"/>
          <w:sz w:val="28"/>
        </w:rPr>
        <w:t>
      для семьи из 2-х человек – 30 кв.м,</w:t>
      </w:r>
    </w:p>
    <w:bookmarkEnd w:id="58"/>
    <w:bookmarkStart w:name="z69" w:id="59"/>
    <w:p>
      <w:pPr>
        <w:spacing w:after="0"/>
        <w:ind w:left="0"/>
        <w:jc w:val="both"/>
      </w:pPr>
      <w:r>
        <w:rPr>
          <w:rFonts w:ascii="Times New Roman"/>
          <w:b w:val="false"/>
          <w:i w:val="false"/>
          <w:color w:val="000000"/>
          <w:sz w:val="28"/>
        </w:rPr>
        <w:t>
      для семьи из 3-х и более человек - по 15 кв.м на каждого, но не более 60 кв.м;</w:t>
      </w:r>
    </w:p>
    <w:bookmarkEnd w:id="59"/>
    <w:bookmarkStart w:name="z70" w:id="60"/>
    <w:p>
      <w:pPr>
        <w:spacing w:after="0"/>
        <w:ind w:left="0"/>
        <w:jc w:val="both"/>
      </w:pPr>
      <w:r>
        <w:rPr>
          <w:rFonts w:ascii="Times New Roman"/>
          <w:b w:val="false"/>
          <w:i w:val="false"/>
          <w:color w:val="000000"/>
          <w:sz w:val="28"/>
        </w:rPr>
        <w:t>
      2) эксплуатационные расходы на предоставляемые услуги (оплата КСК) - 30 кв.м;</w:t>
      </w:r>
    </w:p>
    <w:bookmarkEnd w:id="60"/>
    <w:bookmarkStart w:name="z71" w:id="61"/>
    <w:p>
      <w:pPr>
        <w:spacing w:after="0"/>
        <w:ind w:left="0"/>
        <w:jc w:val="both"/>
      </w:pPr>
      <w:r>
        <w:rPr>
          <w:rFonts w:ascii="Times New Roman"/>
          <w:b w:val="false"/>
          <w:i w:val="false"/>
          <w:color w:val="000000"/>
          <w:sz w:val="28"/>
        </w:rPr>
        <w:t>
      3) расход газа на 1 человека в месяц при наличии газовой плиты и централизованного горячего водоснабжения в квартире – 4,57 кг;</w:t>
      </w:r>
    </w:p>
    <w:bookmarkEnd w:id="61"/>
    <w:bookmarkStart w:name="z72" w:id="62"/>
    <w:p>
      <w:pPr>
        <w:spacing w:after="0"/>
        <w:ind w:left="0"/>
        <w:jc w:val="both"/>
      </w:pPr>
      <w:r>
        <w:rPr>
          <w:rFonts w:ascii="Times New Roman"/>
          <w:b w:val="false"/>
          <w:i w:val="false"/>
          <w:color w:val="000000"/>
          <w:sz w:val="28"/>
        </w:rPr>
        <w:t>
      4) расход газа на 1 человека в месяц при наличии газовой плиты и при отсутствии централизованного горячего водоснабжения в квартире – 5,07 кг;</w:t>
      </w:r>
    </w:p>
    <w:bookmarkEnd w:id="62"/>
    <w:bookmarkStart w:name="z73" w:id="63"/>
    <w:p>
      <w:pPr>
        <w:spacing w:after="0"/>
        <w:ind w:left="0"/>
        <w:jc w:val="both"/>
      </w:pPr>
      <w:r>
        <w:rPr>
          <w:rFonts w:ascii="Times New Roman"/>
          <w:b w:val="false"/>
          <w:i w:val="false"/>
          <w:color w:val="000000"/>
          <w:sz w:val="28"/>
        </w:rPr>
        <w:t>
      5) потребление электроэнергии на 1 человека – 90 кВт.</w:t>
      </w:r>
    </w:p>
    <w:bookmarkEnd w:id="63"/>
    <w:bookmarkStart w:name="z74" w:id="64"/>
    <w:p>
      <w:pPr>
        <w:spacing w:after="0"/>
        <w:ind w:left="0"/>
        <w:jc w:val="both"/>
      </w:pPr>
      <w:r>
        <w:rPr>
          <w:rFonts w:ascii="Times New Roman"/>
          <w:b w:val="false"/>
          <w:i w:val="false"/>
          <w:color w:val="000000"/>
          <w:sz w:val="28"/>
        </w:rPr>
        <w:t>
      6) расхода угля на 1 кв.м общей площади жилого домостроения 129,8 кг, но не более 5000 кг на дом.</w:t>
      </w:r>
    </w:p>
    <w:bookmarkEnd w:id="64"/>
    <w:bookmarkStart w:name="z75" w:id="65"/>
    <w:p>
      <w:pPr>
        <w:spacing w:after="0"/>
        <w:ind w:left="0"/>
        <w:jc w:val="left"/>
      </w:pPr>
      <w:r>
        <w:rPr>
          <w:rFonts w:ascii="Times New Roman"/>
          <w:b/>
          <w:i w:val="false"/>
          <w:color w:val="000000"/>
        </w:rPr>
        <w:t xml:space="preserve"> 4. Выплата жилищной помощи</w:t>
      </w:r>
    </w:p>
    <w:bookmarkEnd w:id="65"/>
    <w:bookmarkStart w:name="z76" w:id="66"/>
    <w:p>
      <w:pPr>
        <w:spacing w:after="0"/>
        <w:ind w:left="0"/>
        <w:jc w:val="both"/>
      </w:pPr>
      <w:r>
        <w:rPr>
          <w:rFonts w:ascii="Times New Roman"/>
          <w:b w:val="false"/>
          <w:i w:val="false"/>
          <w:color w:val="000000"/>
          <w:sz w:val="28"/>
        </w:rPr>
        <w:t>
      29. Выплата жилищной помощи осуществляется через банки второго уровня, путем зачисления на лицевые счета получателей.</w:t>
      </w:r>
    </w:p>
    <w:bookmarkEnd w:id="66"/>
    <w:bookmarkStart w:name="z77" w:id="67"/>
    <w:p>
      <w:pPr>
        <w:spacing w:after="0"/>
        <w:ind w:left="0"/>
        <w:jc w:val="left"/>
      </w:pPr>
      <w:r>
        <w:rPr>
          <w:rFonts w:ascii="Times New Roman"/>
          <w:b/>
          <w:i w:val="false"/>
          <w:color w:val="000000"/>
        </w:rPr>
        <w:t xml:space="preserve"> 5. Заключительные положения</w:t>
      </w:r>
    </w:p>
    <w:bookmarkEnd w:id="67"/>
    <w:bookmarkStart w:name="z78" w:id="68"/>
    <w:p>
      <w:pPr>
        <w:spacing w:after="0"/>
        <w:ind w:left="0"/>
        <w:jc w:val="both"/>
      </w:pPr>
      <w:r>
        <w:rPr>
          <w:rFonts w:ascii="Times New Roman"/>
          <w:b w:val="false"/>
          <w:i w:val="false"/>
          <w:color w:val="000000"/>
          <w:sz w:val="28"/>
        </w:rPr>
        <w:t xml:space="preserve">
      30. Отношения,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xml:space="preserve"> оказания жилищной помощи малообеспеченным семьям (гражданам), регулируются в соответствии с действующим законодательством Республики Казахстан.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