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090d5f7" w14:textId="090d5f7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Теректинскому району на 2019-2020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Теректинского районного маслихата Западно-Казахстанской области от 11 октября 2019 года № 35-2. Зарегистрировано Департаментом юстиции Западно-Казахстанской области 15 октября 2019 года № 5828. Утратило силу решением Теректинского районного маслихата Западно-Казахстанской области от 24 февраля 2021 года № 3-3</w:t>
      </w:r>
    </w:p>
    <w:p>
      <w:pPr>
        <w:spacing w:after="0"/>
        <w:ind w:left="0"/>
        <w:jc w:val="both"/>
      </w:pPr>
      <w:bookmarkStart w:name="z3" w:id="0"/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Утратило силу решением Теректинского районного маслихата Западно-Казахстанской области от 24.02.2021 </w:t>
      </w:r>
      <w:r>
        <w:rPr>
          <w:rFonts w:ascii="Times New Roman"/>
          <w:b w:val="false"/>
          <w:i w:val="false"/>
          <w:color w:val="ff0000"/>
          <w:sz w:val="28"/>
        </w:rPr>
        <w:t>№ 3-3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со дня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ff0000"/>
          <w:sz w:val="28"/>
        </w:rPr>
        <w:t>Примечание РЦПИ.</w:t>
      </w:r>
      <w:r>
        <w:br/>
      </w:r>
      <w:r>
        <w:rPr>
          <w:rFonts w:ascii="Times New Roman"/>
          <w:b w:val="false"/>
          <w:i w:val="false"/>
          <w:color w:val="ff0000"/>
          <w:sz w:val="28"/>
        </w:rPr>
        <w:t>
      В тексте документа сохранена пунктуация и орфография оригинала.</w:t>
      </w:r>
    </w:p>
    <w:bookmarkEnd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 и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 Теректинский районный маслихат </w:t>
      </w:r>
      <w:r>
        <w:rPr>
          <w:rFonts w:ascii="Times New Roman"/>
          <w:b/>
          <w:i w:val="false"/>
          <w:color w:val="000000"/>
          <w:sz w:val="28"/>
        </w:rPr>
        <w:t>РЕШИЛ</w:t>
      </w:r>
      <w:r>
        <w:rPr>
          <w:rFonts w:ascii="Times New Roman"/>
          <w:b w:val="false"/>
          <w:i w:val="false"/>
          <w:color w:val="000000"/>
          <w:sz w:val="28"/>
        </w:rPr>
        <w:t>:</w:t>
      </w:r>
    </w:p>
    <w:bookmarkStart w:name="z4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 Утвердить План по управлению пастбищами и их использованию по Теректинскому району на 2019-2020 годы согласно приложению к настоящему решению.</w:t>
      </w:r>
    </w:p>
    <w:bookmarkEnd w:id="1"/>
    <w:bookmarkStart w:name="z5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 Руководителю аппарата Теректинского районного маслихата (В. Мустивко) обеспечить государственную регистрацию настоящего решения в органах юстиции, его официальное опубликование в Эталонном контрольном банке нормативных правовых актов Республики Казахстан и в средствах массовой информации.</w:t>
      </w:r>
    </w:p>
    <w:bookmarkEnd w:id="2"/>
    <w:bookmarkStart w:name="z6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 Настоящее решение вводится в действие со дня первого официального опубликования.</w:t>
      </w:r>
    </w:p>
    <w:bookmarkEnd w:id="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решением Теректинского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районного маслихата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11 октября 2019 года №35-2</w:t>
            </w:r>
          </w:p>
        </w:tc>
      </w:tr>
    </w:tbl>
    <w:bookmarkStart w:name="z8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по управлению пастбищами и их использованию</w:t>
      </w:r>
      <w:r>
        <w:br/>
      </w:r>
      <w:r>
        <w:rPr>
          <w:rFonts w:ascii="Times New Roman"/>
          <w:b/>
          <w:i w:val="false"/>
          <w:color w:val="000000"/>
        </w:rPr>
        <w:t>по Теректинскому району на 2019-2020 годы</w:t>
      </w:r>
    </w:p>
    <w:bookmarkEnd w:id="4"/>
    <w:bookmarkStart w:name="z9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Настоящий План по управлению пастбищами и их использованию по Теректинскому району на 2019-2020 годы (далее – План) разработан в соответствии с Законами Республики Казахстан от 23 января 2001 года </w:t>
      </w:r>
      <w:r>
        <w:rPr>
          <w:rFonts w:ascii="Times New Roman"/>
          <w:b w:val="false"/>
          <w:i w:val="false"/>
          <w:color w:val="000000"/>
          <w:sz w:val="28"/>
        </w:rPr>
        <w:t>"О местном государственном управлении и самоуправлении в Республике Казахстан"</w:t>
      </w:r>
      <w:r>
        <w:rPr>
          <w:rFonts w:ascii="Times New Roman"/>
          <w:b w:val="false"/>
          <w:i w:val="false"/>
          <w:color w:val="000000"/>
          <w:sz w:val="28"/>
        </w:rPr>
        <w:t xml:space="preserve">, от 20 февраля 2017 года </w:t>
      </w:r>
      <w:r>
        <w:rPr>
          <w:rFonts w:ascii="Times New Roman"/>
          <w:b w:val="false"/>
          <w:i w:val="false"/>
          <w:color w:val="000000"/>
          <w:sz w:val="28"/>
        </w:rPr>
        <w:t>"О пастбищах"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Заместителя Премьер-Министра Республики Казахстан - Министра сельского хозяйства Республики Казахстан от 24 апреля 2017 года № 173 "Об утверждении Правил рационального использования пастбищ" (зарегистрирован в Реестре государственной регистрации нормативных правовых актов № 15090), </w:t>
      </w:r>
      <w:r>
        <w:rPr>
          <w:rFonts w:ascii="Times New Roman"/>
          <w:b w:val="false"/>
          <w:i w:val="false"/>
          <w:color w:val="000000"/>
          <w:sz w:val="28"/>
        </w:rPr>
        <w:t>приказом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сельского хозяйства Республики Казахстан от 14 апреля 2015 года № 3-3/332 "Об утверждении предельно допустимой нормы нагрузки на общую площадь пастбищ" (зарегистрирован в Реестре государственной регистрации нормативных правовых актов № 11064).</w:t>
      </w:r>
    </w:p>
    <w:bookmarkEnd w:id="5"/>
    <w:bookmarkStart w:name="z10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принимается в целях рационального использования пастбищ, устойчивого обеспечения потребности в кормах и предотвращения процессов деградации пастбищ.</w:t>
      </w:r>
    </w:p>
    <w:bookmarkEnd w:id="6"/>
    <w:bookmarkStart w:name="z11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содержит:</w:t>
      </w:r>
    </w:p>
    <w:bookmarkEnd w:id="7"/>
    <w:bookmarkStart w:name="z12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 схему (карту) расположения пастбищ на территории административно-территориальной единицы в разрезе категорий земель, собственников земельных участков и землепользователей на основании правоустанавливающих документов,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8"/>
    <w:bookmarkStart w:name="z13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 приемлемые схемы пастбищеоборотов,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9"/>
    <w:bookmarkStart w:name="z14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 карту с обозначением внешних и внутренних границ и площадей пастбищ, в том числе сезонных, объектов пастбищной инфраструктуры,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0"/>
    <w:bookmarkStart w:name="z15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 схему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колодцам), составленную согласно норме потребления воды,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1"/>
    <w:bookmarkStart w:name="z16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 схему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2"/>
    <w:bookmarkStart w:name="z17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 схему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городе районного значения, поселке, селе, сельском округе,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3"/>
    <w:bookmarkStart w:name="z18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 календарный график по использованию пастбищ, устанавливающий сезонные маршруты выпаса и передвижения сельскохозяйственных животных,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 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Плану;</w:t>
      </w:r>
    </w:p>
    <w:bookmarkEnd w:id="14"/>
    <w:bookmarkStart w:name="z19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 иные требования, необходимые для рационального использования пастбищ на соответствующей административно-территориальной единице.</w:t>
      </w:r>
    </w:p>
    <w:bookmarkEnd w:id="15"/>
    <w:bookmarkStart w:name="z20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План принят с учетом сведений о состоянии геоботанического обследования пастбищ, сведений о ветеринарно-санитарных объектах, данных о численности поголовья сельскохозяйственных животных с указанием их владельцев – пастбищепользователей, физических и (или) юридических лиц, данных о количестве гуртов, отар, табунов, сформированных по видам и половозрастным группам сельскохозяйственных животных, сведений о формировании поголовья сельскохозяйственных животных для выпаса на отгонных пастбищах, особенностей выпаса сельскохозяйственных животных на культурных и аридных пастбищах, сведений о сервитутах для прогона скота и иных данных, предоставленных государственными органами, физическими и (или) юридическими лицами.</w:t>
      </w:r>
    </w:p>
    <w:bookmarkEnd w:id="16"/>
    <w:bookmarkStart w:name="z21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администиративно-территориальному делению в районе имеются 15 сельских округов, 52 сельских населенных пунктов.</w:t>
      </w:r>
    </w:p>
    <w:bookmarkEnd w:id="17"/>
    <w:bookmarkStart w:name="z22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Общая площадь территории Теректинского района 796 757 га, из них пастбищные земли – 421 224 га.</w:t>
      </w:r>
    </w:p>
    <w:bookmarkEnd w:id="18"/>
    <w:bookmarkStart w:name="z23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 категориям земли подразделяются на:</w:t>
      </w:r>
    </w:p>
    <w:bookmarkEnd w:id="19"/>
    <w:bookmarkStart w:name="z24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сельскохозяйственного назначения – 487 668 га;</w:t>
      </w:r>
    </w:p>
    <w:bookmarkEnd w:id="20"/>
    <w:bookmarkStart w:name="z2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населенных пунктов – 84 529 га;</w:t>
      </w:r>
    </w:p>
    <w:bookmarkEnd w:id="21"/>
    <w:bookmarkStart w:name="z26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промышленности, транспорта, связи, для нужд космической деятельности, обороны, национальной безопасности и иного несельскохозяйственного назначения – 4 164 га;</w:t>
      </w:r>
    </w:p>
    <w:bookmarkEnd w:id="22"/>
    <w:bookmarkStart w:name="z27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особоохраняемых природных территорий, земли оздоровительного, рекреационного и историко-культурного назначения – 27 га;</w:t>
      </w:r>
    </w:p>
    <w:bookmarkEnd w:id="23"/>
    <w:bookmarkStart w:name="z28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лесного фонда – 38 766 га</w:t>
      </w:r>
    </w:p>
    <w:bookmarkEnd w:id="24"/>
    <w:bookmarkStart w:name="z29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водного фонда – 27 282 га;</w:t>
      </w:r>
    </w:p>
    <w:bookmarkEnd w:id="25"/>
    <w:bookmarkStart w:name="z30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земли запаса – 152 378 га.</w:t>
      </w:r>
    </w:p>
    <w:bookmarkEnd w:id="26"/>
    <w:bookmarkStart w:name="z31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района резко континентальный, зима сравнительно холодная, лето жаркое и засушливое. Среднегодовая температура воздуха в январе – -14; -35°С, в июле +24; +38°С. Средний размер осадков составляет – 30 мм, а годовой – 214 мм.</w:t>
      </w:r>
    </w:p>
    <w:bookmarkEnd w:id="27"/>
    <w:bookmarkStart w:name="z32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Растительный покров района разнообразный, включает примерно 118 видов. Самые распространенные из них зерновые и астроцветные травы.</w:t>
      </w:r>
    </w:p>
    <w:bookmarkEnd w:id="28"/>
    <w:bookmarkStart w:name="z33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Почвы светлокаштановые, на юге встречаются солончаковые земли. Толщина плодородной почвы 40-50 см.</w:t>
      </w:r>
    </w:p>
    <w:bookmarkEnd w:id="29"/>
    <w:bookmarkStart w:name="z34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по району по всем категориям хозяйств имеются 48342 голов крупного рогатого скота, 68599 голов мелкого рогатого скота (овцы, козы), 11482 голов лощадей и 44700 птиц.</w:t>
      </w:r>
    </w:p>
    <w:bookmarkEnd w:id="30"/>
    <w:bookmarkStart w:name="z35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районе действуют 7 ветеринарных пунктов, 7 пунктов для искусственного осеменения и 19 скотомогильников.</w:t>
      </w:r>
    </w:p>
    <w:bookmarkEnd w:id="31"/>
    <w:bookmarkStart w:name="z36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Для обеспечения сельскохозяйственных животных по Теректинскому району имеются всего 421224 га пастбищных угодий. В черте населенного пункта числится 75181 га пастбищ, в землях запаса имеются 116252 га пастбищных угодий.</w:t>
      </w:r>
    </w:p>
    <w:bookmarkEnd w:id="32"/>
    <w:bookmarkStart w:name="z37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некоторых сельских округах в связи с ростом поголовья скота ощущается недостаток 295516 га пастбищных угодий, также крестьянским хозяйствам и личного подворья необходимо дополнительно 168230 га пастбищных угодий.</w:t>
      </w:r>
    </w:p>
    <w:bookmarkEnd w:id="33"/>
    <w:bookmarkStart w:name="z38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Для решения этих проблем – необходимо рационально выделить пастбищные угодья из государственного фонда и увеличить площади пастбищ за счет земель населенных пунктов, земель сельскохозяйственного назначения и земель запаса Теректинского района. </w:t>
      </w:r>
    </w:p>
    <w:bookmarkEnd w:id="34"/>
    <w:bookmarkStart w:name="z39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Также, для обеспечения ветеринарно – санитарными объектами запланировать строительство мест для купания животных по всему району, строительство пунктов осеменения в Аксуатском, Богдановском, Долиннском, Покатиловском, Новопавловском, Чаганском, Акжаикском и Шалкарском сельских округах.</w:t>
      </w:r>
    </w:p>
    <w:bookmarkEnd w:id="3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2019-2020 годы</w:t>
            </w:r>
          </w:p>
        </w:tc>
      </w:tr>
    </w:tbl>
    <w:bookmarkStart w:name="z41"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 (карта)</w:t>
      </w:r>
      <w:r>
        <w:br/>
      </w:r>
      <w:r>
        <w:rPr>
          <w:rFonts w:ascii="Times New Roman"/>
          <w:b/>
          <w:i w:val="false"/>
          <w:color w:val="000000"/>
        </w:rPr>
        <w:t>расположения пастбищ на территории административно – территориальной единицы в</w:t>
      </w:r>
      <w:r>
        <w:br/>
      </w:r>
      <w:r>
        <w:rPr>
          <w:rFonts w:ascii="Times New Roman"/>
          <w:b/>
          <w:i w:val="false"/>
          <w:color w:val="000000"/>
        </w:rPr>
        <w:t>разрезе категорий земель, собственников земельных участков и землепользователей на</w:t>
      </w:r>
      <w:r>
        <w:br/>
      </w:r>
      <w:r>
        <w:rPr>
          <w:rFonts w:ascii="Times New Roman"/>
          <w:b/>
          <w:i w:val="false"/>
          <w:color w:val="000000"/>
        </w:rPr>
        <w:t>основании правоустанавливающих документов</w:t>
      </w:r>
    </w:p>
    <w:bookmarkEnd w:id="36"/>
    <w:bookmarkStart w:name="z42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7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2019-2020 годы</w:t>
            </w:r>
          </w:p>
        </w:tc>
      </w:tr>
    </w:tbl>
    <w:bookmarkStart w:name="z44" w:id="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38"/>
    <w:bookmarkStart w:name="z45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39"/>
    <w:p>
      <w:pPr>
        <w:spacing w:after="0"/>
        <w:ind w:left="0"/>
        <w:jc w:val="both"/>
      </w:pPr>
      <w:r>
        <w:drawing>
          <wp:inline distT="0" distB="0" distL="0" distR="0">
            <wp:extent cx="7810500" cy="929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2019-2020 годы</w:t>
            </w:r>
          </w:p>
        </w:tc>
      </w:tr>
    </w:tbl>
    <w:bookmarkStart w:name="z47" w:id="4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</w:t>
      </w:r>
      <w:r>
        <w:br/>
      </w:r>
      <w:r>
        <w:rPr>
          <w:rFonts w:ascii="Times New Roman"/>
          <w:b/>
          <w:i w:val="false"/>
          <w:color w:val="000000"/>
        </w:rPr>
        <w:t>с обозначением внешних и внутренних границ и площадей пастбищ,</w:t>
      </w:r>
      <w:r>
        <w:br/>
      </w:r>
      <w:r>
        <w:rPr>
          <w:rFonts w:ascii="Times New Roman"/>
          <w:b/>
          <w:i w:val="false"/>
          <w:color w:val="000000"/>
        </w:rPr>
        <w:t>в том числе сезонных, объектов пастбищной инфраструктуры</w:t>
      </w:r>
    </w:p>
    <w:bookmarkEnd w:id="40"/>
    <w:bookmarkStart w:name="z4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1"/>
    <w:p>
      <w:pPr>
        <w:spacing w:after="0"/>
        <w:ind w:left="0"/>
        <w:jc w:val="both"/>
      </w:pPr>
      <w:r>
        <w:drawing>
          <wp:inline distT="0" distB="0" distL="0" distR="0">
            <wp:extent cx="7810500" cy="909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09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2019-2020 годы</w:t>
            </w:r>
          </w:p>
        </w:tc>
      </w:tr>
    </w:tbl>
    <w:bookmarkStart w:name="z50" w:id="4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доступа пастбищепользователей к водоисточникам</w:t>
      </w:r>
      <w:r>
        <w:br/>
      </w:r>
      <w:r>
        <w:rPr>
          <w:rFonts w:ascii="Times New Roman"/>
          <w:b/>
          <w:i w:val="false"/>
          <w:color w:val="000000"/>
        </w:rPr>
        <w:t>(озерам, рекам, прудам, копаням, оросительным или обводнительным каналам,</w:t>
      </w:r>
      <w:r>
        <w:br/>
      </w:r>
      <w:r>
        <w:rPr>
          <w:rFonts w:ascii="Times New Roman"/>
          <w:b/>
          <w:i w:val="false"/>
          <w:color w:val="000000"/>
        </w:rPr>
        <w:t>трубчатым или шахтным колодцам), составленная согласно норме потребления воды</w:t>
      </w:r>
    </w:p>
    <w:bookmarkEnd w:id="42"/>
    <w:bookmarkStart w:name="z51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3"/>
    <w:p>
      <w:pPr>
        <w:spacing w:after="0"/>
        <w:ind w:left="0"/>
        <w:jc w:val="both"/>
      </w:pPr>
      <w:r>
        <w:drawing>
          <wp:inline distT="0" distB="0" distL="0" distR="0">
            <wp:extent cx="7810500" cy="8928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2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2019-2020 годы</w:t>
            </w:r>
          </w:p>
        </w:tc>
      </w:tr>
    </w:tbl>
    <w:bookmarkStart w:name="z53" w:id="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перераспределения пастбищ для размещения поголовья сельскохозяйственных</w:t>
      </w:r>
      <w:r>
        <w:br/>
      </w:r>
      <w:r>
        <w:rPr>
          <w:rFonts w:ascii="Times New Roman"/>
          <w:b/>
          <w:i w:val="false"/>
          <w:color w:val="000000"/>
        </w:rPr>
        <w:t>животных физических и (или) юридических лиц, у которых отсутствуют пастбища, и</w:t>
      </w:r>
      <w:r>
        <w:br/>
      </w:r>
      <w:r>
        <w:rPr>
          <w:rFonts w:ascii="Times New Roman"/>
          <w:b/>
          <w:i w:val="false"/>
          <w:color w:val="000000"/>
        </w:rPr>
        <w:t>перемещения его на предоставляемые пастбища</w:t>
      </w:r>
    </w:p>
    <w:bookmarkEnd w:id="44"/>
    <w:bookmarkStart w:name="z54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5"/>
    <w:p>
      <w:pPr>
        <w:spacing w:after="0"/>
        <w:ind w:left="0"/>
        <w:jc w:val="both"/>
      </w:pPr>
      <w:r>
        <w:drawing>
          <wp:inline distT="0" distB="0" distL="0" distR="0">
            <wp:extent cx="7810500" cy="8991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2019-2020 годы</w:t>
            </w:r>
          </w:p>
        </w:tc>
      </w:tr>
    </w:tbl>
    <w:bookmarkStart w:name="z56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</w:t>
      </w:r>
      <w:r>
        <w:br/>
      </w:r>
      <w:r>
        <w:rPr>
          <w:rFonts w:ascii="Times New Roman"/>
          <w:b/>
          <w:i w:val="false"/>
          <w:color w:val="000000"/>
        </w:rPr>
        <w:t>размещения поголовья сельскохозяйственных животных на отгонных пастбищах</w:t>
      </w:r>
      <w:r>
        <w:br/>
      </w:r>
      <w:r>
        <w:rPr>
          <w:rFonts w:ascii="Times New Roman"/>
          <w:b/>
          <w:i w:val="false"/>
          <w:color w:val="000000"/>
        </w:rPr>
        <w:t>физических и (или) юридических лиц, не обеспеченных пастбищами, расположенными</w:t>
      </w:r>
      <w:r>
        <w:br/>
      </w:r>
      <w:r>
        <w:rPr>
          <w:rFonts w:ascii="Times New Roman"/>
          <w:b/>
          <w:i w:val="false"/>
          <w:color w:val="000000"/>
        </w:rPr>
        <w:t>при городе районного значения, поселке, селе, сельском округе</w:t>
      </w:r>
    </w:p>
    <w:bookmarkEnd w:id="46"/>
    <w:bookmarkStart w:name="z57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47"/>
    <w:p>
      <w:pPr>
        <w:spacing w:after="0"/>
        <w:ind w:left="0"/>
        <w:jc w:val="both"/>
      </w:pPr>
      <w:r>
        <w:drawing>
          <wp:inline distT="0" distB="0" distL="0" distR="0">
            <wp:extent cx="7810500" cy="8915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91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Плану по управлению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пастбищами и их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использованию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Теректинскому району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2019-2020 годы</w:t>
            </w:r>
          </w:p>
        </w:tc>
      </w:tr>
    </w:tbl>
    <w:bookmarkStart w:name="z59" w:id="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</w:t>
      </w:r>
      <w:r>
        <w:br/>
      </w:r>
      <w:r>
        <w:rPr>
          <w:rFonts w:ascii="Times New Roman"/>
          <w:b/>
          <w:i w:val="false"/>
          <w:color w:val="000000"/>
        </w:rPr>
        <w:t>по использованию пастбищ, определяюшие сезонные маршруты выпаса и отгона</w:t>
      </w:r>
      <w:r>
        <w:br/>
      </w:r>
      <w:r>
        <w:rPr>
          <w:rFonts w:ascii="Times New Roman"/>
          <w:b/>
          <w:i w:val="false"/>
          <w:color w:val="000000"/>
        </w:rPr>
        <w:t>сельскохозяйственных животных</w:t>
      </w:r>
    </w:p>
    <w:bookmarkEnd w:id="48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</w:tblPr>
      <w:tblGrid>
        <w:gridCol w:w="2864"/>
        <w:gridCol w:w="1845"/>
        <w:gridCol w:w="3385"/>
        <w:gridCol w:w="3386"/>
        <w:gridCol w:w="820"/>
      </w:tblGrid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Порядковый номер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Наименование сельского округа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на отдаленные пастбища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Период отгона животных с отдаленных пастбищ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Аксуатский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Богдановский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Долинский 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Новопавловский 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Покатиловский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Подстепновский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Приреченский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Узункульский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Федоровский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Чаганский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Акжаикский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Аксогумский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Анкатинский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Шагатайский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2864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</w:t>
            </w:r>
          </w:p>
        </w:tc>
        <w:tc>
          <w:tcPr>
            <w:tcW w:w="184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Шалкарский</w:t>
            </w:r>
          </w:p>
        </w:tc>
        <w:tc>
          <w:tcPr>
            <w:tcW w:w="3385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Первая половина мая</w:t>
            </w:r>
          </w:p>
        </w:tc>
        <w:tc>
          <w:tcPr>
            <w:tcW w:w="3386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Вторая декада октября</w:t>
            </w:r>
          </w:p>
        </w:tc>
        <w:tc>
          <w:tcPr>
            <w:tcW w:w="82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bookmarkStart w:name="z60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Длительность пастбищного периода связана с почвенно-климатической зоной, видами сельскохозяйственных животных, а также урожайностью пастбищ в умеренно сухих на ковыльно – типчаково – полынных степях – составляет 180-200 дней.</w:t>
      </w:r>
    </w:p>
    <w:bookmarkEnd w:id="49"/>
    <w:bookmarkStart w:name="z61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данном случае продолжительность выпаса для крупного рогатого скота, мелкого рогатого скота и лошадей связана с максимальной глубиной снежного покрова с плотностью снега и другими факторами.</w:t>
      </w:r>
    </w:p>
    <w:bookmarkEnd w:id="50"/>
    <w:bookmarkStart w:name="z62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Примечание: расшифровка аббревиатуры:</w:t>
      </w:r>
    </w:p>
    <w:bookmarkEnd w:id="51"/>
    <w:bookmarkStart w:name="z63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 – показатель Цельсия;</w:t>
      </w:r>
    </w:p>
    <w:bookmarkEnd w:id="52"/>
    <w:bookmarkStart w:name="z64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га – гектар;</w:t>
      </w:r>
    </w:p>
    <w:bookmarkEnd w:id="53"/>
    <w:bookmarkStart w:name="z65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мм - милиметр;</w:t>
      </w:r>
    </w:p>
    <w:bookmarkEnd w:id="54"/>
    <w:bookmarkStart w:name="z66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см - сантиметр;</w:t>
      </w:r>
    </w:p>
    <w:bookmarkEnd w:id="55"/>
    <w:bookmarkStart w:name="z67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РФ – Российская Федерация;</w:t>
      </w:r>
    </w:p>
    <w:bookmarkEnd w:id="56"/>
    <w:bookmarkStart w:name="z68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 - сельский округ.</w:t>
      </w:r>
    </w:p>
    <w:bookmarkEnd w:id="57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0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header.xml" Type="http://schemas.openxmlformats.org/officeDocument/2006/relationships/header" Id="rId10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