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53bd" w14:textId="3e15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января 2020 года № 3. Зарегистрирован в Министерстве юстиции Республики Казахстан 21 января 2020 года № 19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, опубликован 4 феврал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проекта государственно-частного партнерства к проекту государственно-частного партнерства особой значим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ализация проекта ГЧП планируется по объектам (существующим или предполагаемым к строительству), относящимся к республиканской собственности, или коммунальной собственности по строительству линий легкорельсового транспорта расположенного в городе республиканского значения, по строительству и/или эксплуатации аэропортов и/или аэровокзалов с пропускной способностью не менее 400 пассажиров/час и/или получателями экономических выгод от реализации данных проектов ГЧП являются субъекты двух и более областей, городов республиканского значения и столицы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