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cf61" w14:textId="898c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7 февраля 2020 года № 121. Зарегистрирован в Министерстве юстиции Республики Казахстан 11 февраля 2020 года № 20026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 (зарегистрирован в Реестре государственной регистрации нормативных правовых актов под № 16387, опубликован 3 марта 2018 года в Эталонном контрольном банке нормативных правовых актов Республики Казахстан) следующее изменение: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Электронный аукцион проводится в период времени с 10:00 до 17:00 часов времени города Нур-Султан, при этом электронный аукцион начинается не позднее 15:00 часов по времени города Нур-Султан.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электронного аукциона в течение одного часа до начала аукциона регистрируются в аукционном зале, используя ЭЦП. Аукцион начинается в указанное в извещении о проведении торгов время города Нур-Султан путем автоматического размещения в аукционном зале стартовой цены лота.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момент начала аукциона в аукционном зале по лоту зарегистрировались и находятся менее двух участников аукциона, то аукцион по данному лоту признается не состоявшимся.".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