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cf61" w14:textId="898c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 февраля 2018 года № 111 "Об 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7 февраля 2020 года № 121. Зарегистрирован в Министерстве юстиции Республики Казахстан 11 февраля 2020 года № 20026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2018 года № 111 "Об 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процентов" (зарегистрирован в Реестре государственной регистрации нормативных правовых актов под № 16387, опубликован 3 марта 2018 года в Эталонном контрольном банке нормативных правовых актов Республики Казахстан) следующее изменение: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Электронный аукцион проводится в период времени с 10:00 до 17:00 часов времени города Нур-Султан, при этом электронный аукцион начинается не позднее 15:00 часов по времени города Нур-Султан.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электронного аукциона в течение одного часа до начала аукциона регистрируются в аукционном зале, используя ЭЦП. Аукцион начинается в указанное в извещении о проведении торгов время города Нур-Султан путем автоматического размещения в аукционном зале стартовой цены лота.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момент начала аукциона в аукционном зале по лоту зарегистрировались и находятся менее двух участников аукциона, то аукцион по данному лоту признается не состоявшимся.".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