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7d7" w14:textId="892e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марта 2020 года № 18. Зарегистрировано в Министерстве юстиции Республики Казахстан 23 марта 2020 года № 20160.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 – экономической стабильности"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в течение десяти календарных дней после государственной регистрации настоящего постановления обеспечить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 (далее – Требования)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банки второго уровня, филиалы банков-нерезидентов Республики Казахстан и Национального оператора почты (далее – банк).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12"/>
    <w:bookmarkStart w:name="z3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13"/>
    <w:bookmarkStart w:name="z3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 по финансовому мониторингу)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14"/>
    <w:bookmarkStart w:name="z3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безналичному платежу или переводу денег без использования банковского счета, покупке, продаже или обмену наличной иностранной валюты в обменном пункте, использованию платежной карточки, не являющейся средством доступа к банковскому счету такого клиента, оплате задолженности в рамках исполнительного производства в пользу государственных органов посредством оборудования (устройства), покупке аффинированного золота в слитках через обменные пункты, а также предоставление банком услуг не идентифицированным владельцам электронных денег путем проведения операций по приобретению и использованию электронных денег;</w:t>
      </w:r>
    </w:p>
    <w:bookmarkEnd w:id="15"/>
    <w:bookmarkStart w:name="z3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банком мер по выявлению, оценке, мониторингу рисков ОД/ФТ, а также их минимизации (в отношении услуг (продуктов), клиентов, а также совершаемых клиентами операций);</w:t>
      </w:r>
    </w:p>
    <w:bookmarkEnd w:id="16"/>
    <w:bookmarkStart w:name="z3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банка;</w:t>
      </w:r>
    </w:p>
    <w:bookmarkEnd w:id="17"/>
    <w:bookmarkStart w:name="z3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- риски преднамеренного или непреднамеренного вовлечения банка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 или иную преступную деятельность;</w:t>
      </w:r>
    </w:p>
    <w:bookmarkEnd w:id="18"/>
    <w:bookmarkStart w:name="z3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3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3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банком клиенту услуг (продуктов), относящихся к финансовой деятельности и финансовым услугам.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банком в целях:</w:t>
      </w:r>
    </w:p>
    <w:bookmarkEnd w:id="22"/>
    <w:bookmarkStart w:name="z3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банком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банка на уровне, достаточном для управления рисками ОД/ФТ и сопряженными рисками (операционного, репутационного);</w:t>
      </w:r>
    </w:p>
    <w:bookmarkEnd w:id="24"/>
    <w:bookmarkStart w:name="z3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банка, его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банка разрабатываются и принимаются правила внутреннего контроля, включающие требования к проведению службой внутреннего аудита банка оценки эффективности внутреннего контроля в целях ПОД/ФТ. Правила внутреннего контроля исполняются банком с учетом результатов оценки степени подверженности услуг банка рискам ОД/ФТ, размера, характера и сложности банка.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банком самостоятельно в соответствии с Требованиями и являются внутренним документом банка либо совокупностью таких документов, утвержденных органом управления или исполнительным органом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внутренней системы ПОД/ФТ</w:t>
      </w:r>
      <w:r>
        <w:br/>
      </w:r>
      <w:r>
        <w:rPr>
          <w:rFonts w:ascii="Times New Roman"/>
          <w:b/>
          <w:i w:val="false"/>
          <w:color w:val="000000"/>
        </w:rPr>
        <w:t>и программа организации внутреннего контроля в целях ПОД/ФТ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банка, в банке назначается лицо, ответственное за реализацию и соблюдение правил внутреннего контроля в банке (далее – ответственный работник), из числа руководящих работников банка или иных руководителей банка не ниже уровня руководителя соответствующего структурного подразделения банка, а также определяются работники либо подразделение банка,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ответственному работнику являются:</w:t>
      </w:r>
    </w:p>
    <w:bookmarkEnd w:id="29"/>
    <w:bookmarkStart w:name="z4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bookmarkEnd w:id="30"/>
    <w:bookmarkStart w:name="z4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должности руководителя подразделения банка, связанного с осуществлением банковских и (или) иных операций, не менее 1 (одного) года либо стажа работы в сфере ПОД/ФТ не менее 2 (двух) лет, либо стажа работы в сфере предоставления и (или) регулирования финансовых услуг не менее 3 (трех) лет;</w:t>
      </w:r>
    </w:p>
    <w:bookmarkEnd w:id="31"/>
    <w:bookmarkStart w:name="z4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организации внутреннего контроля в целях ПОД/ФТ включает, но не ограничивается:</w:t>
      </w:r>
    </w:p>
    <w:bookmarkEnd w:id="33"/>
    <w:bookmarkStart w:name="z4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4"/>
    <w:bookmarkStart w:name="z4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информирования работниками банка, в том числе ответственным работником, органа управления и исполнительного органа банка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банка;</w:t>
      </w:r>
    </w:p>
    <w:bookmarkEnd w:id="35"/>
    <w:bookmarkStart w:name="z4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требований по ПОД/ФТ банковского конгломерата, в который входит банк (при наличии);</w:t>
      </w:r>
    </w:p>
    <w:bookmarkEnd w:id="36"/>
    <w:bookmarkStart w:name="z4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и представления органу управления и исполнительному органу банка управленческой отчетности, в том числе на консолидированной основе в рамках банковского конгломерата, по результатам оценки эффективности внутреннего контроля в целях ПОД/ФТ службой внутреннего аудита банка;</w:t>
      </w:r>
    </w:p>
    <w:bookmarkEnd w:id="37"/>
    <w:bookmarkStart w:name="z4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принятия решений ответственным работником, органом управления и (или) исполнительным органом банка или руководящим работником банка об установлении, продолжении либо прекращении деловых отношений с клиентами, о приостановлении либо отказе в проведении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 с клиентами, и в порядке, предусмотренном внутренними документами банка;</w:t>
      </w:r>
    </w:p>
    <w:bookmarkEnd w:id="38"/>
    <w:bookmarkStart w:name="z4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оценки, определения, документального фиксирования и обновления результатов оценки рисков ОД/ФТ;</w:t>
      </w:r>
    </w:p>
    <w:bookmarkEnd w:id="39"/>
    <w:bookmarkStart w:name="z4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функций подразделения по ПОД/ФТ, в том числе процедуру взаимодействия с другими подразделениями банка,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банка;</w:t>
      </w:r>
    </w:p>
    <w:bookmarkEnd w:id="40"/>
    <w:bookmarkStart w:name="z4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соблюдения и реализации правил внутреннего контроля, в том числе порядок применения дополнительных мер контроля и процедур по управлению рисками ОД/ФТ и их снижению,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2"/>
    <w:bookmarkStart w:name="z2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банка правил внутреннего контроля и (или) изменений (дополнений) к ним, а также мониторинга за их соблюдением в банке;</w:t>
      </w:r>
    </w:p>
    <w:bookmarkEnd w:id="43"/>
    <w:bookmarkStart w:name="z2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4"/>
    <w:bookmarkStart w:name="z2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банка;</w:t>
      </w:r>
    </w:p>
    <w:bookmarkEnd w:id="45"/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органа управления банка и (или) исполнительного органа банка о выявленных нарушениях правил внутреннего контроля в порядке, предусмотренном внутренними документами банка;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банковского конгломерата, для формирования отчетов органу управления банка и исполнительному органу о выявленных недостатках;</w:t>
      </w:r>
    </w:p>
    <w:bookmarkEnd w:id="47"/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 сбору количественных и качественных показателей для оценки риска вовлеченности банка рискам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(далее - уполномоченный орган)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банка,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банка;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подразделениям банка указаний, касающихся проведения операции с деньгами и (или) иным имуществом;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банка документов и файлов.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в филиалах банка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координацию деятельности по вопросам ПОД/ФТ таких работников осуществляет ответственный работник.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работника, работников подразделения по ПОД/ФТ, а также работников банка, на которых возложены функции, предусмотренные пунктом 8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банка.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 для автоматизации процессов по вопросам внутреннего контроля в целях ПОД/ФТ использует автоматизированные информационные системы.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 банк разрабатывает программу управления рисками ОД/ФТ.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При реализации программы управления рисками ОД/ФТ банк учитывает опубликованную информацию из отчета оценки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13-1 в соответствии с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Программа управления рисками ОД/ФТ включает, но не ограничивается: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банка в разрезе его структурных подразделений;</w:t>
      </w:r>
    </w:p>
    <w:bookmarkEnd w:id="61"/>
    <w:bookmarkStart w:name="z2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 уровня риска клиента, а также степени подверженности услуг (продуктов) банка рискам ОД/ФТ;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банка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3"/>
    <w:bookmarkStart w:name="z2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13-2 в соответствии с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 на ежегодной основе осуществляет оценку степени подверженности услуг (продуктов) банка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банка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исключительной деятельностью которых является инкассация банкнот, монет и ценностей на основании лицензии Национального Банка Республики Казахстан (за исключением дочерних организаций банков, которые соблюдают требования по ПОД/ФТ, установленные банком);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адвокаты и другие независимые специалисты по юридическим вопросам в случаях, когда они от имени или по поручению клиента участвуют в операциях с деньгами и (или) имуществом в отношении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ПОД/ФТ, профессиональные участники рынка ценных бумаг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банка, которые соблюдают требования по ПОД/ФТ, установленные банком);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80"/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82"/>
    <w:bookmarkStart w:name="z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куплей-продажей, драгоценных металлов, драгоценных камней либо изделий из них;</w:t>
      </w:r>
    </w:p>
    <w:bookmarkEnd w:id="83"/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84"/>
    <w:bookmarkStart w:name="z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расположенные в Республике Казахстан филиалы и представительства таких лиц;</w:t>
      </w:r>
    </w:p>
    <w:bookmarkEnd w:id="85"/>
    <w:bookmarkStart w:name="z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клиент, в отношении которого имеются основания для сомнения в достоверности полученных данных;</w:t>
      </w:r>
    </w:p>
    <w:bookmarkEnd w:id="86"/>
    <w:bookmarkStart w:name="z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87"/>
    <w:bookmarkStart w:name="z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имущество;</w:t>
      </w:r>
    </w:p>
    <w:bookmarkEnd w:id="88"/>
    <w:bookmarkStart w:name="z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клиенты, являющиеся держателями десяти и более платежных карточек, выпущенных банком;</w:t>
      </w:r>
    </w:p>
    <w:bookmarkEnd w:id="89"/>
    <w:bookmarkStart w:name="z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клиенты, совершившие в течение последних 6 (шести) месяцев три и более платежей в пользу организатора игорного бизнеса на общую сумму более 300 000 (триста тысяч)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29.12.2023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а также юридические лица, контроль над которыми осуществляется государственными органами;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– резиденты Республики Казахстан;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Банк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деятельность", (зарегистрировано в Реестре государственной регистрации нормативных правовых актов под № 20095);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банком в качестве представляющих высокий риск ОД/ФТ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 по финансовому мониторингу.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(продукты) банка, а также способы их предоставления, повышающие риск ОД/ФТ, включают, но не ограничиваются: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передачи, новые или развивающиеся технологии, как для новых, так и для уже существующих продуктов, определяемые в правилах внутреннего контроля банка;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банковское обслуживание клиентов;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и (или) переводы денег без использования банковского счета;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торговое финансирование;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сейфовые операции (услуги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помещений);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доверительное управление имуществом;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брокерское обслуживание на международных рынках;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кастодиальное обслуживание;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деньги в случае, если банк-эмитент не является оператором соответствующей системы электронных денег;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предоплаченные платежные карточки;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корпоративные платежные карточки;</w:t>
      </w:r>
    </w:p>
    <w:bookmarkEnd w:id="115"/>
    <w:bookmarkStart w:name="z1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чеки, в том числе дорожные чеки;</w:t>
      </w:r>
    </w:p>
    <w:bookmarkEnd w:id="116"/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счета иностранных финансовых организаций;</w:t>
      </w:r>
    </w:p>
    <w:bookmarkEnd w:id="117"/>
    <w:bookmarkStart w:name="z1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операции по покупке, продаже, обмену наличной иностранной валюты через обменные пункты.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оценке степени подверженности услуг (продуктов) банка рискам ОД/ФТ в соответствии с факторами и категориями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банком учитываются дополнительные сведения, влияющие на итоговую степень риска, включая, но не ограничиваясь: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банком в уполномоченный орган по финансовому мониторингу сообщений о подозрительных операциях клиентов;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банком в уполномоченный орган по финансовому мониторингу сообщений о пороговых операциях клиентов.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реализации программы управления рисками ОД/ФТ банком принимаются меры по классификации клиентов с учетом категорий и факторов риска, указанных в пунктах 15, 16, 17 и 18 Требований, а также иных категорий рисков, устанавливаемых банком.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банком по результатам анализа имеющихся у банка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пунктах 15, 16, 17 и 18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4"/>
    <w:bookmarkStart w:name="z1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банком по мере обновления сведений о клиенте (группе клиентов) и результатов мониторинга операций (деловых отношений).</w:t>
      </w:r>
    </w:p>
    <w:bookmarkEnd w:id="125"/>
    <w:bookmarkStart w:name="z3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Банки определяют и оценивают риски ОД/ФТ, которые могут возникнуть в связи с:</w:t>
      </w:r>
    </w:p>
    <w:bookmarkEnd w:id="126"/>
    <w:bookmarkStart w:name="z3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их передачи;</w:t>
      </w:r>
    </w:p>
    <w:bookmarkEnd w:id="127"/>
    <w:bookmarkStart w:name="z3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действующих продуктов.</w:t>
      </w:r>
    </w:p>
    <w:bookmarkEnd w:id="128"/>
    <w:bookmarkStart w:name="z3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20-1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 банк разрабатывает программу идентификации клиентов (их представителей) и бенефициарных собственников.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банком мероприятий по фиксированию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проведение на постоянной основе проверки деловых отношений и изучения операций, осуществляемых клиентом через банк, включая при необходимости получение и фиксирование сведений об источнике финансирования совершаемых операций,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и их представителях.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Программа идентификации клиента, его представителя и бенефициарного собственника включает, но не ограничивается:</w:t>
      </w:r>
    </w:p>
    <w:bookmarkEnd w:id="132"/>
    <w:bookmarkStart w:name="z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банком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133"/>
    <w:bookmarkStart w:name="z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134"/>
    <w:bookmarkStart w:name="z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корреспондентских отношений с иностранными финансовыми организациями;</w:t>
      </w:r>
    </w:p>
    <w:bookmarkEnd w:id="135"/>
    <w:bookmarkStart w:name="z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банком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36"/>
    <w:bookmarkStart w:name="z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применения целевых финансовых санкций, проверки клиента (его представителя) и бенефициарного собственника на наличие в перечнях организаций и лиц, связанных с финансированием терроризма и экстремизма, финансированием распространения оружия массового уничтожения, составляемых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 ФРОМУ)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137"/>
    <w:bookmarkStart w:name="z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прекращения действия целевых финансовых санкций при исключении сведений о клиенте (его представителе) и бенефициарного собственника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Перечня ФРОМУ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8"/>
    <w:bookmarkStart w:name="z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9"/>
    <w:bookmarkStart w:name="z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банковским конгломератом, в который входит банк (при наличии);</w:t>
      </w:r>
    </w:p>
    <w:bookmarkEnd w:id="140"/>
    <w:bookmarkStart w:name="z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особенности идентификации клиентов путем получения сведений от других финансовых организаций, в том числе идентификации физических и юридических лиц, в пользу или от имени которых брокером (дилером) совершаются операции по своему банковскому счету;</w:t>
      </w:r>
    </w:p>
    <w:bookmarkEnd w:id="141"/>
    <w:bookmarkStart w:name="z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достоверности сведений о клиенте (его представителе) и бенефициарном собственнике;</w:t>
      </w:r>
    </w:p>
    <w:bookmarkEnd w:id="142"/>
    <w:bookmarkStart w:name="z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43"/>
    <w:bookmarkStart w:name="z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риска;</w:t>
      </w:r>
    </w:p>
    <w:bookmarkEnd w:id="144"/>
    <w:bookmarkStart w:name="z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порядок получения и представления по запросу банка сведений о бенефициарных собственниках клиентов по форме и порядке, определенным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bookmarkEnd w:id="145"/>
    <w:bookmarkStart w:name="z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проверки клиента (его представителя) и бенефициарного собственника на принадлежность к иностранным организаторам игорного бизнеса, деятельность которых признана незаконной на территории Республики Казахстан на основании судебного акта (далее – иностранные организаторы игорного бизнеса), отказа в проведении платежей и (или) переводов денег в пользу иностранных организаторов игорного бизнеса, а также прекращения деловых отношений с клиентом, являющимся иностранным организатором игорного бизнеса.</w:t>
      </w:r>
    </w:p>
    <w:bookmarkEnd w:id="146"/>
    <w:bookmarkStart w:name="z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47"/>
    <w:bookmarkStart w:name="z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представителя клиента дополнительно проверяются полномочия такого лица действовать от имени и (или) в интересах клиента.</w:t>
      </w:r>
    </w:p>
    <w:bookmarkEnd w:id="148"/>
    <w:bookmarkStart w:name="z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клиента, с которым банк установил деловые отношения посредством представителя клиента, действующего от имени клиента на основании выданной доверенности, банком до проведения расходных или приходных операций, дополнительно проводится биометрическая идентификация клиента.</w:t>
      </w:r>
    </w:p>
    <w:bookmarkEnd w:id="149"/>
    <w:bookmarkStart w:name="z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дистанционное установление деловых отношений (без личного присутствия клиента или его представителя) с клиентами, являющимися резидентами стран с высоким риском ОД/ФТ на основе фактора незаконного производства, оборота и (или) транзита наркотиков.</w:t>
      </w:r>
    </w:p>
    <w:bookmarkEnd w:id="150"/>
    <w:bookmarkStart w:name="z1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проверяются документы клиентов, являющихся нерезидентами Республики Казахстан - держателями десяти и более платежных карточек, выпущенных данным банком, и (или) резидентами стран с высоким риском ОД/ФТ на основе фактора незаконного производства, оборота и (или) транзита наркотиков, подтверждающие обоснованность нахождения в Республике Казахстан (трудовой договор, договор обучения, вид на жительство иностранца в Республике Казахстан и другие документы).</w:t>
      </w:r>
    </w:p>
    <w:bookmarkEnd w:id="151"/>
    <w:bookmarkStart w:name="z1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банка мер,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банк разрабатывает правила взаимодействия с такими лицами, которые включают:</w:t>
      </w:r>
    </w:p>
    <w:bookmarkEnd w:id="152"/>
    <w:bookmarkStart w:name="z1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банком договоров с лицами, которым поручено проведение идентификации, а также перечень должностных лиц банка, уполномоченных заключать такие договоры;</w:t>
      </w:r>
    </w:p>
    <w:bookmarkEnd w:id="153"/>
    <w:bookmarkStart w:name="z1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банком и лицами, которым поручено проведение идентификации;</w:t>
      </w:r>
    </w:p>
    <w:bookmarkEnd w:id="154"/>
    <w:bookmarkStart w:name="z1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банку сведений, полученных при проведении идентификации, лицами, которым поручено проведение идентификации;</w:t>
      </w:r>
    </w:p>
    <w:bookmarkEnd w:id="155"/>
    <w:bookmarkStart w:name="z1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банком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банку полученных сведений, а также меры, принимаемые банком по устранению выявленных нарушений;</w:t>
      </w:r>
    </w:p>
    <w:bookmarkEnd w:id="156"/>
    <w:bookmarkStart w:name="z1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банком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банку полученных сведений;</w:t>
      </w:r>
    </w:p>
    <w:bookmarkEnd w:id="157"/>
    <w:bookmarkStart w:name="z1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банка,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8"/>
    <w:bookmarkStart w:name="z1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банк поручил проведение идентификации, за несоблюдение ими требований по идентификации, включая процедуру, сроки и полноту передачи банку полученных сведений;</w:t>
      </w:r>
    </w:p>
    <w:bookmarkEnd w:id="159"/>
    <w:bookmarkStart w:name="z1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банка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60"/>
    <w:bookmarkStart w:name="z1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банком дополнительных условий в правила взаимодействия.</w:t>
      </w:r>
    </w:p>
    <w:bookmarkEnd w:id="161"/>
    <w:bookmarkStart w:name="z1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поручивший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учитывает возможные риски ОД/ФТ.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29.12.2023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 до установления деловых отношений.</w:t>
      </w:r>
    </w:p>
    <w:bookmarkEnd w:id="163"/>
    <w:bookmarkStart w:name="z1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164"/>
    <w:bookmarkStart w:name="z4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65"/>
    <w:bookmarkStart w:name="z4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клиентом подозрительных операций (попытки совершения);</w:t>
      </w:r>
    </w:p>
    <w:bookmarkEnd w:id="166"/>
    <w:bookmarkStart w:name="z4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67"/>
    <w:bookmarkStart w:name="z4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68"/>
    <w:bookmarkStart w:name="z4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169"/>
    <w:bookmarkStart w:name="z4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разовой операции (сделки) на сумму, превышающую 500 000 (пятьсот тысяч) тенге, либо сумму в иностранной валюте, превышающую эквивалент 500 000 (пятьсот тысяч) тенге, в том числе путем совершения операции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безналичного платежа или перевода денег без использования банковского счета, операции по покупке, продаже или обмену наличной иностранной валюты в обменном пункте и покупке аффинированного золота в слитках через обменные пункты;</w:t>
      </w:r>
    </w:p>
    <w:bookmarkEnd w:id="170"/>
    <w:bookmarkStart w:name="z4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клиентом разовой операции (сделки) на сумму, превышающую 200 000 (двести тысяч) тенге, либо сумму в иностранной валюте, превышающую эквивалент 200 000 (двести тысяч) тенге по операциям с использованием платежной карточки, не являющейся средством доступа к банковскому счету такого клиента;</w:t>
      </w:r>
    </w:p>
    <w:bookmarkEnd w:id="171"/>
    <w:bookmarkStart w:name="z4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совершения клиентом операции по оплате задолженности в рамках исполнительного производства в пользу государственных органов посредством оборудования (устройства), предназначенного для приема наличных денег;</w:t>
      </w:r>
    </w:p>
    <w:bookmarkEnd w:id="172"/>
    <w:bookmarkStart w:name="z44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совершения неидентифицированными владельцами электронных денег – физическими лицами операций по приобретению и использованию электронных денег, не превышающих сумму,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платежах и платежных системах".</w:t>
      </w:r>
    </w:p>
    <w:bookmarkEnd w:id="173"/>
    <w:bookmarkStart w:name="z4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</w:t>
      </w:r>
    </w:p>
    <w:bookmarkEnd w:id="174"/>
    <w:bookmarkStart w:name="z4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банком решения о наличии такого сомнения.</w:t>
      </w:r>
    </w:p>
    <w:bookmarkEnd w:id="175"/>
    <w:bookmarkStart w:name="z4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пунктами 23 и 24 Требований в рамках идентификации клиента (его представителя) и бенефициарного собственника, документально фиксируются и вносятся (включаются) банком в досье клиента, которое хранится в банке на протяжении всего периода деловых отношений с клиентом и не менее 5 (пяти) лет со дня прекращения деловых отношений с клиентом либо совершения разовой операции (сделки).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банком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незамедлительно получает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мониторинга, на меры надлежащей проверки клиента которого полагается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который полагается на меры надлежащей проверки клиентов (их представителей) и бенефициарных собственников, принятые иностранной финансовой организацией,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являющийся участником банковского конгломерата, при необходимости полагается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такого банковского конгломерата,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банком в соответствии с внутренними документами ведутся досье, включают,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структуры без образования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в том числе иностранные финансовые организации-респонденты.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формирует досье клиента путем фиксирования сведений о нем в зависимости от уровня его риска, присвоенного банком в соответствии с правилами внутреннего контроля банка.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фиксируются дополнительные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(сведений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платежей и (или) переводов денег иностранной финансовой организацией и ее клиентами через корреспондентские счета, банком проверяется наличие в платежном документе сведений,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Банк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25-1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процессе идентификации клиента (его представителя) и бенефициарного собственника банком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79"/>
    <w:bookmarkStart w:name="z4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80"/>
    <w:bookmarkStart w:name="z4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81"/>
    <w:bookmarkStart w:name="z4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оценку репутации публичного должностного лица в отношении причастности его к случаям ОД/ФТ;</w:t>
      </w:r>
    </w:p>
    <w:bookmarkEnd w:id="182"/>
    <w:bookmarkStart w:name="z4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письменное разрешение руководящего работника банка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83"/>
    <w:bookmarkStart w:name="z4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предпринимают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84"/>
    <w:bookmarkStart w:name="z4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предпринимают на постоянной основе усиленные меры надлежащей проверки клиентов (их представителей) и бенефициарных собственников.</w:t>
      </w:r>
    </w:p>
    <w:bookmarkEnd w:id="185"/>
    <w:bookmarkStart w:name="z4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банк,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третьей настоящего пункта.</w:t>
      </w:r>
    </w:p>
    <w:bookmarkEnd w:id="186"/>
    <w:bookmarkStart w:name="z4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87"/>
    <w:bookmarkStart w:name="z4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88"/>
    <w:bookmarkStart w:name="z4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физического лица (руководителя, учредителей (участников) юридического лица,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89"/>
    <w:bookmarkStart w:name="z4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90"/>
    <w:bookmarkStart w:name="z4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91"/>
    <w:bookmarkStart w:name="z4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92"/>
    <w:bookmarkStart w:name="z4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93"/>
    <w:bookmarkStart w:name="z4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94"/>
    <w:bookmarkStart w:name="z4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195"/>
    <w:bookmarkStart w:name="z4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96"/>
    <w:bookmarkStart w:name="z4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 устанавливает и фиксирует следующие данные:</w:t>
      </w:r>
    </w:p>
    <w:bookmarkEnd w:id="197"/>
    <w:bookmarkStart w:name="z4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и дату государственной регистрации организации, наименование регистрирующего органа (при их наличии);</w:t>
      </w:r>
    </w:p>
    <w:bookmarkEnd w:id="198"/>
    <w:bookmarkStart w:name="z4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регистрации или нахождения;</w:t>
      </w:r>
    </w:p>
    <w:bookmarkEnd w:id="199"/>
    <w:bookmarkStart w:name="z4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Казахстан);</w:t>
      </w:r>
    </w:p>
    <w:bookmarkEnd w:id="200"/>
    <w:bookmarkStart w:name="z4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201"/>
    <w:bookmarkStart w:name="z4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в соответствии с учредительными документами действовать от имени юридического лица), лице, имеющем право подписи на финансовых документах;</w:t>
      </w:r>
    </w:p>
    <w:bookmarkEnd w:id="202"/>
    <w:bookmarkStart w:name="z4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</w:t>
      </w:r>
    </w:p>
    <w:bookmarkEnd w:id="203"/>
    <w:bookmarkStart w:name="z4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клиента-иностранной структуры без образования юридического лица устанавливает и фиксирует следующие данные:</w:t>
      </w:r>
    </w:p>
    <w:bookmarkEnd w:id="204"/>
    <w:bookmarkStart w:name="z4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территории); </w:t>
      </w:r>
    </w:p>
    <w:bookmarkEnd w:id="205"/>
    <w:bookmarkStart w:name="z4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206"/>
    <w:bookmarkStart w:name="z4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207"/>
    <w:bookmarkStart w:name="z4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208"/>
    <w:bookmarkStart w:name="z4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банка, которыми пользуется клиент, рискам ОД/ФТ.</w:t>
      </w:r>
    </w:p>
    <w:bookmarkEnd w:id="210"/>
    <w:bookmarkStart w:name="z1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11"/>
    <w:bookmarkStart w:name="z1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представителе), являющимся держателем десяти и более платежных карточек, выпущенных банком, осуществляется не реже одного раза в квартал.</w:t>
      </w:r>
    </w:p>
    <w:bookmarkEnd w:id="212"/>
    <w:bookmarkStart w:name="z1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представителе), в отношении которого имеются основания полагать, что его деятельность связана с финансированием незаконным производством, оборотом и (или) транзитом наркотиков, осуществляется не реже одного раза в полгода.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29.12.2023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214"/>
    <w:bookmarkStart w:name="z1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по финансовому мониторингу сообщений о пороговых и подозрительных операциях банк разрабатывает программу мониторинга и изучения операций клиентов.</w:t>
      </w:r>
    </w:p>
    <w:bookmarkEnd w:id="215"/>
    <w:bookmarkStart w:name="z1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216"/>
    <w:bookmarkStart w:name="z3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217"/>
    <w:bookmarkStart w:name="z3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операций клиента, имеющих характеристики, соответствующие типологиям, схемам и способам ОД/ФТ,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18"/>
    <w:bookmarkStart w:name="z3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банка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219"/>
    <w:bookmarkStart w:name="z3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банка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основания и срок принятия ответственным работником решения о квалификации операции клиента;</w:t>
      </w:r>
    </w:p>
    <w:bookmarkEnd w:id="221"/>
    <w:bookmarkStart w:name="z3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фиксирования (в том числе способы фиксирования) и хранения сведений о результатах изучения необычных операций (сделок), а также сведений о пороговых и подозрительных операциях (в том числе сумме операции);</w:t>
      </w:r>
    </w:p>
    <w:bookmarkEnd w:id="222"/>
    <w:bookmarkStart w:name="z3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мониторинга и изучения операций клиентов высокого уровня риска;</w:t>
      </w:r>
    </w:p>
    <w:bookmarkEnd w:id="223"/>
    <w:bookmarkStart w:name="z3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принятия и описание мер, принимаемых банком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24"/>
    <w:bookmarkStart w:name="z3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225"/>
    <w:bookmarkStart w:name="z38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информирования (при необходимости) уполномоченных органов и должностных лиц банка о выявлении пороговой и подозрительной операции.</w:t>
      </w:r>
    </w:p>
    <w:bookmarkEnd w:id="226"/>
    <w:bookmarkStart w:name="z38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признаков определения подозрительных операций,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банк в правилах внутреннего контроля самостоятельно определяет оценочные категории (включая, но не ограничиваясь, систематичность, регулярность, значительность, существенность, излишняя озабоченность, необоснованная поспешность, небольшой период, большое количество, группа лиц) с учетом масштаба и основных направлений деятельности банка, характера, масштаба и основных направлений деятельности его клиентов, уровня рисков, связанных с клиентами и их операциями.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 банком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ОД/ФТ, а также при необходимости источника финансирования.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банка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в банке на протяжении всего периода деловых отношений с клиентом и не менее пяти лет после совершения операции либо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Частота изучения операций клиента определяется банком с учетом уровня риска клиента (группы клиентов) и (или) степени подверженности услуг (продуктов) банка,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банка типологий, схем и способов ОД/ФТ, утвержденных уполномоченным органом по финансовому мониторингу.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банком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банком дополнительно изучается операция по единовременной выдаче клиенту высокого уровня риска наличных денег, в том числе с использованием банковского (банковских) счета (счетов) на сумму, определенную банком в правилах внутреннего контроля банка самостоятельно. В случае направления уполномоченным органом указания о необходимости пересмотра суммы операции по единовременной выдаче клиенту высокого уровня риска наличных денег, банк устанавливает лимиты в соответствии с указанием.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Банком проверяются посредством процедур мониторинга и изучения операции по приобретению безналичной иностранной валюты (далее – конверсионные операции) на предмет легализации (отмывания) доходов, полученных преступным путем, вовлечения в законный оборот денег и (или) иного имущества, полученных преступным путем, посредством совершения конверсионных операций. Процедуре мониторинга и изучения подлежат конверсионные операции, проводимые одним клиентом банка в виде покупки (покупок) иностранной валюты в один операционный день в совокупной сумме, превышающей: для физических лиц – 3 (три) миллионов долларов США, для юридических лиц – 10 (десять) миллионов долларов США. </w:t>
      </w:r>
    </w:p>
    <w:bookmarkEnd w:id="230"/>
    <w:bookmarkStart w:name="z1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предварительной процедуры мониторинга и изучения конверсионных операций юридических лиц на стадии учетной регистрации валютного договора (контракта), если условия валютного договора предусматривают совершение операций, соответствующих условиям, предусмотренным частью первой настоящего пункта.</w:t>
      </w:r>
    </w:p>
    <w:bookmarkEnd w:id="231"/>
    <w:bookmarkStart w:name="z1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клиент не проходил предварительную процедуру мониторинга и изучения по конверсионным операциям, то при совершении клиентом конверсионных операций и одновременном достижении клиентом в течение дня порогов, предусмотренных частью первой настоящего пункта, последующие заявки на приобретение иностранной валюты принимаются не менее чем за 1 рабочий день до даты совершения конверсионной операции.</w:t>
      </w:r>
    </w:p>
    <w:bookmarkEnd w:id="232"/>
    <w:bookmarkStart w:name="z1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третьей настоящего пункта, не распространяется на заявки клиентов на покупку иностранной валюты, поданные в рамках сделок по приобретению ими ценных бумаг, на рефинансирование текущих займов клиентов, а также операции нерезидентов, в отношении которых проведена процедура надлежащей проверки клиента.</w:t>
      </w:r>
    </w:p>
    <w:bookmarkEnd w:id="233"/>
    <w:bookmarkStart w:name="z1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мониторинга и изучения конверсионной операции включает, но не ограничивается, следующие меры из доступных источников:</w:t>
      </w:r>
    </w:p>
    <w:bookmarkEnd w:id="234"/>
    <w:bookmarkStart w:name="z1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источников происхождения денег для финансирования операции, в том числе путем анализа финансовой отчетности; </w:t>
      </w:r>
    </w:p>
    <w:bookmarkEnd w:id="235"/>
    <w:bookmarkStart w:name="z1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надлежащую проверку бенефициарных собственников;</w:t>
      </w:r>
    </w:p>
    <w:bookmarkEnd w:id="236"/>
    <w:bookmarkStart w:name="z1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деловой репутации юридического лица, анализ деятельности, проверку наличия лицензии, разрешений на осуществление деятельности; </w:t>
      </w:r>
    </w:p>
    <w:bookmarkEnd w:id="237"/>
    <w:bookmarkStart w:name="z1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наличия и (или) отсутствия клиента в списках банка, которому было отказано в установлении деловых отношений (а равно прекращены деловые отношения)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ПОД/ФТ; </w:t>
      </w:r>
    </w:p>
    <w:bookmarkEnd w:id="238"/>
    <w:bookmarkStart w:name="z2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и (или) отсутствия у клиента операций с участием стран с высоким риском ОД/ФТ и стран включенных в перечень оффшорных зон;</w:t>
      </w:r>
    </w:p>
    <w:bookmarkEnd w:id="239"/>
    <w:bookmarkStart w:name="z2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информации о контрагенте клиента, указанной в абзацах третьем, четвертом, пятом и шестом настоящей части, в открытых доступных источниках, в открытых доступных источниках;</w:t>
      </w:r>
    </w:p>
    <w:bookmarkEnd w:id="240"/>
    <w:bookmarkStart w:name="z2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операции на наличие признаков совершения клиентом не имеющей очевидного экономического смысла или видимой законной цели операции с деньгами и (или) иным имуществом.</w:t>
      </w:r>
    </w:p>
    <w:bookmarkEnd w:id="241"/>
    <w:bookmarkStart w:name="z2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указания с обоснованием необходимости пересмотра условий надлежащей проверки клиента с целью соблюдения процедур мониторинга и изучения подозрительных конверсионных операций, банк разрабатывает и применяет дополнительные меры надлежащей проверки клиента с учетом указания.</w:t>
      </w:r>
    </w:p>
    <w:bookmarkEnd w:id="242"/>
    <w:bookmarkStart w:name="z2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банка,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банка.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банком не менее пяти лет после совершения операции.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банка по вопросам ПОД/ФТ</w:t>
      </w:r>
    </w:p>
    <w:bookmarkEnd w:id="245"/>
    <w:bookmarkStart w:name="z2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Целью Программы подготовки и обучения работников по вопросам ПОД/ФТ (далее – Программа обучения) является получение работниками банка знаний и формирование навыков, необходимых для исполнения ими требований законодательства в сфере ПОД/ФТ, а также правил внутреннего контроля и иных внутренних документов банка в сфере ПОД/ФТ.</w:t>
      </w:r>
    </w:p>
    <w:bookmarkEnd w:id="246"/>
    <w:bookmarkStart w:name="z2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