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92ea" w14:textId="f119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вредных организмов, борьба с которыми осуществляется за счет бюджетных средств, и Правил проведения фитосанитарных мероприятий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марта 2020 года № 100. Зарегистрирован в Министерстве юстиции Республики Казахстан 31 марта 2020 года № 20213.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6 Закона Республики Казахстан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10.01.2022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вредных организмов, борьба с которыми осуществляется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фитосанитарных мероприятий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19 марта 2020 года № 100</w:t>
            </w:r>
          </w:p>
        </w:tc>
      </w:tr>
    </w:tbl>
    <w:bookmarkStart w:name="z16" w:id="10"/>
    <w:p>
      <w:pPr>
        <w:spacing w:after="0"/>
        <w:ind w:left="0"/>
        <w:jc w:val="left"/>
      </w:pPr>
      <w:r>
        <w:rPr>
          <w:rFonts w:ascii="Times New Roman"/>
          <w:b/>
          <w:i w:val="false"/>
          <w:color w:val="000000"/>
        </w:rPr>
        <w:t xml:space="preserve"> Перечень вредных организмов, борьба с которыми осуществляется за счет бюджетных средств</w:t>
      </w:r>
    </w:p>
    <w:bookmarkEnd w:id="10"/>
    <w:bookmarkStart w:name="z17" w:id="11"/>
    <w:p>
      <w:pPr>
        <w:spacing w:after="0"/>
        <w:ind w:left="0"/>
        <w:jc w:val="both"/>
      </w:pPr>
      <w:r>
        <w:rPr>
          <w:rFonts w:ascii="Times New Roman"/>
          <w:b w:val="false"/>
          <w:i w:val="false"/>
          <w:color w:val="000000"/>
          <w:sz w:val="28"/>
        </w:rPr>
        <w:t>
      Нестадные саранчовые (богарный прус, малая крестовичка, степной конек, травянка Фишера, кобылки: атбасарская, белополосая, бескрылая или пешая, крестовая, сибирская, степная, темнокрылая, чернополосая).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2020 года № 100</w:t>
            </w:r>
          </w:p>
        </w:tc>
      </w:tr>
    </w:tbl>
    <w:bookmarkStart w:name="z19" w:id="12"/>
    <w:p>
      <w:pPr>
        <w:spacing w:after="0"/>
        <w:ind w:left="0"/>
        <w:jc w:val="left"/>
      </w:pPr>
      <w:r>
        <w:rPr>
          <w:rFonts w:ascii="Times New Roman"/>
          <w:b/>
          <w:i w:val="false"/>
          <w:color w:val="000000"/>
        </w:rPr>
        <w:t xml:space="preserve"> Правила проведения фитосанитарных мероприятий</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проведения фитосанитарных мероприятий (далее – Правила) разработаны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6 Закона Республики Казахстан "О государственном регулировании развития агропромышленного комплекса и сельских территорий", подпунктом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защите растений" (далее – Закон) и определяют порядок проведения фитосанитарных мероприятий.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10.01.2022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xml:space="preserve">
      1) особо опасные вредные организмы – вредители и болезни растений, способные к периодическому массовому размножению и распространению, причиняющие экономический, экологический ущерб и внесенные в </w:t>
      </w:r>
      <w:r>
        <w:rPr>
          <w:rFonts w:ascii="Times New Roman"/>
          <w:b w:val="false"/>
          <w:i w:val="false"/>
          <w:color w:val="000000"/>
          <w:sz w:val="28"/>
        </w:rPr>
        <w:t>перечень</w:t>
      </w:r>
      <w:r>
        <w:rPr>
          <w:rFonts w:ascii="Times New Roman"/>
          <w:b w:val="false"/>
          <w:i w:val="false"/>
          <w:color w:val="000000"/>
          <w:sz w:val="28"/>
        </w:rPr>
        <w:t xml:space="preserve"> особо опасных вредных организмов, утвержденный приказом Министра сельского хозяйства Республики Казахстан от 30 марта 2015 года № 4-4/282 "Об утверждении перечня карантинных объектов и чужеродных видов, по отношению к которым устанавливаются и осуществляются мероприятия по карантину растений, и перечня особо опасных вредных организмов" (зарегистрирован в Реестре государственной регистрации нормативных правовых актов № 11739);</w:t>
      </w:r>
    </w:p>
    <w:bookmarkEnd w:id="16"/>
    <w:bookmarkStart w:name="z24" w:id="17"/>
    <w:p>
      <w:pPr>
        <w:spacing w:after="0"/>
        <w:ind w:left="0"/>
        <w:jc w:val="both"/>
      </w:pPr>
      <w:r>
        <w:rPr>
          <w:rFonts w:ascii="Times New Roman"/>
          <w:b w:val="false"/>
          <w:i w:val="false"/>
          <w:color w:val="000000"/>
          <w:sz w:val="28"/>
        </w:rPr>
        <w:t>
      2) вредные организмы – вредители, сорняки и болезни растений, отрицательно действующие на почву, растительность и сельскохозяйственную продукцию;</w:t>
      </w:r>
    </w:p>
    <w:bookmarkEnd w:id="17"/>
    <w:bookmarkStart w:name="z25" w:id="18"/>
    <w:p>
      <w:pPr>
        <w:spacing w:after="0"/>
        <w:ind w:left="0"/>
        <w:jc w:val="both"/>
      </w:pPr>
      <w:r>
        <w:rPr>
          <w:rFonts w:ascii="Times New Roman"/>
          <w:b w:val="false"/>
          <w:i w:val="false"/>
          <w:color w:val="000000"/>
          <w:sz w:val="28"/>
        </w:rPr>
        <w:t>
      3) экономический порог вредоносности (далее – ЭПВ) – численность вредных и особо опасных вредных организмов, вызывающая потери растениеводческой продукции, при которой необходимо проведение фитосанитарных мероприятий;</w:t>
      </w:r>
    </w:p>
    <w:bookmarkEnd w:id="18"/>
    <w:bookmarkStart w:name="z26" w:id="19"/>
    <w:p>
      <w:pPr>
        <w:spacing w:after="0"/>
        <w:ind w:left="0"/>
        <w:jc w:val="both"/>
      </w:pPr>
      <w:r>
        <w:rPr>
          <w:rFonts w:ascii="Times New Roman"/>
          <w:b w:val="false"/>
          <w:i w:val="false"/>
          <w:color w:val="000000"/>
          <w:sz w:val="28"/>
        </w:rPr>
        <w:t>
      4) пестициды –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вредными и особо опасными вредными организмами, карантинными объектами и чужеродными видами,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bookmarkEnd w:id="19"/>
    <w:bookmarkStart w:name="z27" w:id="20"/>
    <w:p>
      <w:pPr>
        <w:spacing w:after="0"/>
        <w:ind w:left="0"/>
        <w:jc w:val="both"/>
      </w:pPr>
      <w:r>
        <w:rPr>
          <w:rFonts w:ascii="Times New Roman"/>
          <w:b w:val="false"/>
          <w:i w:val="false"/>
          <w:color w:val="000000"/>
          <w:sz w:val="28"/>
        </w:rPr>
        <w:t>
      5) уполномоченный орган в области защиты растений (далее – уполномоченный орган) – центральный исполнительный орган, осуществляющий руководство в области защиты растений, а также в пределах своих полномочий межотраслевую координацию;</w:t>
      </w:r>
    </w:p>
    <w:bookmarkEnd w:id="20"/>
    <w:bookmarkStart w:name="z28" w:id="21"/>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21"/>
    <w:bookmarkStart w:name="z29" w:id="22"/>
    <w:p>
      <w:pPr>
        <w:spacing w:after="0"/>
        <w:ind w:left="0"/>
        <w:jc w:val="both"/>
      </w:pPr>
      <w:r>
        <w:rPr>
          <w:rFonts w:ascii="Times New Roman"/>
          <w:b w:val="false"/>
          <w:i w:val="false"/>
          <w:color w:val="000000"/>
          <w:sz w:val="28"/>
        </w:rPr>
        <w:t>
      7) фитосанитарный прогноз – предварительное определение возможного распространения и степени развития вредных и особо опасных вредных организмов в целях планирования сроков и объемов проведения фитосанитарных мероприятий;</w:t>
      </w:r>
    </w:p>
    <w:bookmarkEnd w:id="22"/>
    <w:bookmarkStart w:name="z30" w:id="23"/>
    <w:p>
      <w:pPr>
        <w:spacing w:after="0"/>
        <w:ind w:left="0"/>
        <w:jc w:val="both"/>
      </w:pPr>
      <w:r>
        <w:rPr>
          <w:rFonts w:ascii="Times New Roman"/>
          <w:b w:val="false"/>
          <w:i w:val="false"/>
          <w:color w:val="000000"/>
          <w:sz w:val="28"/>
        </w:rPr>
        <w:t>
      8) фитосанитарный мониторинг – система мероприятий, включающая обследование, наблюдение, учет развития и распространения вредных и особо опасных вредных организмов, а также разработку на их основе фитосанитарного прогноза;</w:t>
      </w:r>
    </w:p>
    <w:bookmarkEnd w:id="23"/>
    <w:bookmarkStart w:name="z31" w:id="24"/>
    <w:p>
      <w:pPr>
        <w:spacing w:after="0"/>
        <w:ind w:left="0"/>
        <w:jc w:val="both"/>
      </w:pPr>
      <w:r>
        <w:rPr>
          <w:rFonts w:ascii="Times New Roman"/>
          <w:b w:val="false"/>
          <w:i w:val="false"/>
          <w:color w:val="000000"/>
          <w:sz w:val="28"/>
        </w:rPr>
        <w:t>
      9) фитосанитарные нормативы – установленные параметры величин, используемые для определения объемов фитосанитарных мероприятий;</w:t>
      </w:r>
    </w:p>
    <w:bookmarkEnd w:id="24"/>
    <w:bookmarkStart w:name="z32" w:id="25"/>
    <w:p>
      <w:pPr>
        <w:spacing w:after="0"/>
        <w:ind w:left="0"/>
        <w:jc w:val="both"/>
      </w:pPr>
      <w:r>
        <w:rPr>
          <w:rFonts w:ascii="Times New Roman"/>
          <w:b w:val="false"/>
          <w:i w:val="false"/>
          <w:color w:val="000000"/>
          <w:sz w:val="28"/>
        </w:rPr>
        <w:t>
      10) фитосанитарные мероприятия – комплекс мер, обеспечивающих уничтожение и (или) снижение численности и вредоносности вредных и особо опасных вредных организмов ниже ЭПВ.</w:t>
      </w:r>
    </w:p>
    <w:bookmarkEnd w:id="25"/>
    <w:bookmarkStart w:name="z33" w:id="26"/>
    <w:p>
      <w:pPr>
        <w:spacing w:after="0"/>
        <w:ind w:left="0"/>
        <w:jc w:val="left"/>
      </w:pPr>
      <w:r>
        <w:rPr>
          <w:rFonts w:ascii="Times New Roman"/>
          <w:b/>
          <w:i w:val="false"/>
          <w:color w:val="000000"/>
        </w:rPr>
        <w:t xml:space="preserve"> Глава 2. Порядок проведения фитосанитарных мероприятий</w:t>
      </w:r>
    </w:p>
    <w:bookmarkEnd w:id="26"/>
    <w:bookmarkStart w:name="z34" w:id="27"/>
    <w:p>
      <w:pPr>
        <w:spacing w:after="0"/>
        <w:ind w:left="0"/>
        <w:jc w:val="both"/>
      </w:pPr>
      <w:r>
        <w:rPr>
          <w:rFonts w:ascii="Times New Roman"/>
          <w:b w:val="false"/>
          <w:i w:val="false"/>
          <w:color w:val="000000"/>
          <w:sz w:val="28"/>
        </w:rPr>
        <w:t>
      3. Основным критерием для введения соответствующей бюджетной программы на проведение фитосанитарных мероприятий являются данные фитосанитарного прогноза по объемам проведения фитосанитарных мероприятий на территории соответствующей области (города республиканского значения, столицы), составляемые государственным учреждением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 (далее – Методический центр) на основе летне-осенних обследований территорий, проведенных в предшествующем году.</w:t>
      </w:r>
    </w:p>
    <w:bookmarkEnd w:id="27"/>
    <w:bookmarkStart w:name="z35" w:id="28"/>
    <w:p>
      <w:pPr>
        <w:spacing w:after="0"/>
        <w:ind w:left="0"/>
        <w:jc w:val="both"/>
      </w:pPr>
      <w:r>
        <w:rPr>
          <w:rFonts w:ascii="Times New Roman"/>
          <w:b w:val="false"/>
          <w:i w:val="false"/>
          <w:color w:val="000000"/>
          <w:sz w:val="28"/>
        </w:rPr>
        <w:t>
      Для фитосанитарного прогноза по объемам проведения фитосанитарных мероприятий также учитываются данные фитосанитарного мониторинга физических и юридических лиц, деятельность которых связана с объектами государственного фитосанитарного контроля (далее – субъекты).</w:t>
      </w:r>
    </w:p>
    <w:bookmarkEnd w:id="28"/>
    <w:bookmarkStart w:name="z36" w:id="29"/>
    <w:p>
      <w:pPr>
        <w:spacing w:after="0"/>
        <w:ind w:left="0"/>
        <w:jc w:val="both"/>
      </w:pPr>
      <w:r>
        <w:rPr>
          <w:rFonts w:ascii="Times New Roman"/>
          <w:b w:val="false"/>
          <w:i w:val="false"/>
          <w:color w:val="000000"/>
          <w:sz w:val="28"/>
        </w:rPr>
        <w:t>
      4. Площадь, подлежащая химическим обработкам, определяется согласно значениям ЭПВ и составляется на основе данных Методического центра:</w:t>
      </w:r>
    </w:p>
    <w:bookmarkEnd w:id="29"/>
    <w:bookmarkStart w:name="z37" w:id="30"/>
    <w:p>
      <w:pPr>
        <w:spacing w:after="0"/>
        <w:ind w:left="0"/>
        <w:jc w:val="both"/>
      </w:pPr>
      <w:r>
        <w:rPr>
          <w:rFonts w:ascii="Times New Roman"/>
          <w:b w:val="false"/>
          <w:i w:val="false"/>
          <w:color w:val="000000"/>
          <w:sz w:val="28"/>
        </w:rPr>
        <w:t>
      для нестадных саранчовых составляет 8 и более личинок на 1 квадратный метр;</w:t>
      </w:r>
    </w:p>
    <w:bookmarkEnd w:id="30"/>
    <w:bookmarkStart w:name="z38" w:id="31"/>
    <w:p>
      <w:pPr>
        <w:spacing w:after="0"/>
        <w:ind w:left="0"/>
        <w:jc w:val="both"/>
      </w:pPr>
      <w:r>
        <w:rPr>
          <w:rFonts w:ascii="Times New Roman"/>
          <w:b w:val="false"/>
          <w:i w:val="false"/>
          <w:color w:val="000000"/>
          <w:sz w:val="28"/>
        </w:rPr>
        <w:t xml:space="preserve">
      для вредных и особо опасных вредных организмов согласно </w:t>
      </w:r>
      <w:r>
        <w:rPr>
          <w:rFonts w:ascii="Times New Roman"/>
          <w:b w:val="false"/>
          <w:i w:val="false"/>
          <w:color w:val="000000"/>
          <w:sz w:val="28"/>
        </w:rPr>
        <w:t>фитосанитарным нормативам</w:t>
      </w:r>
      <w:r>
        <w:rPr>
          <w:rFonts w:ascii="Times New Roman"/>
          <w:b w:val="false"/>
          <w:i w:val="false"/>
          <w:color w:val="000000"/>
          <w:sz w:val="28"/>
        </w:rPr>
        <w:t>, утвержденным приказом Министра сельского хозяйства Республики Казахстан от 29 июня 2015 года № 15-02/584 "Об утверждении фитосанитарных нормативов, форм фитосанитарного учета, а также Правил их представления" (зарегистрирован в Реестре государственной регистрации нормативных правовых актов № 11913) (далее – фитосанитарные нормативы).</w:t>
      </w:r>
    </w:p>
    <w:bookmarkEnd w:id="31"/>
    <w:bookmarkStart w:name="z39" w:id="32"/>
    <w:p>
      <w:pPr>
        <w:spacing w:after="0"/>
        <w:ind w:left="0"/>
        <w:jc w:val="both"/>
      </w:pPr>
      <w:r>
        <w:rPr>
          <w:rFonts w:ascii="Times New Roman"/>
          <w:b w:val="false"/>
          <w:i w:val="false"/>
          <w:color w:val="000000"/>
          <w:sz w:val="28"/>
        </w:rPr>
        <w:t>
      5. Фитосанитарный мониторинг по выявлению мест заселения вредными и особо опасными вредными организмами проводится Методическим центром на постоянной основе в период развития и распространения вредных и особо опасных вредных организмов.</w:t>
      </w:r>
    </w:p>
    <w:bookmarkEnd w:id="32"/>
    <w:bookmarkStart w:name="z40" w:id="33"/>
    <w:p>
      <w:pPr>
        <w:spacing w:after="0"/>
        <w:ind w:left="0"/>
        <w:jc w:val="both"/>
      </w:pPr>
      <w:r>
        <w:rPr>
          <w:rFonts w:ascii="Times New Roman"/>
          <w:b w:val="false"/>
          <w:i w:val="false"/>
          <w:color w:val="000000"/>
          <w:sz w:val="28"/>
        </w:rPr>
        <w:t>
      6. Субъекты осуществляют на своих территориях фитосанитарный мониторинг и в случае выявления вредных и особо опасных вредных организмов с численностью выше ЭПВ, за исключением стадных саранчовых (азиатская, мароккская и итальянский прус) и нестадных саранчовых, проводят фитосанитарные мероприятия.</w:t>
      </w:r>
    </w:p>
    <w:bookmarkEnd w:id="33"/>
    <w:bookmarkStart w:name="z41" w:id="34"/>
    <w:p>
      <w:pPr>
        <w:spacing w:after="0"/>
        <w:ind w:left="0"/>
        <w:jc w:val="both"/>
      </w:pPr>
      <w:r>
        <w:rPr>
          <w:rFonts w:ascii="Times New Roman"/>
          <w:b w:val="false"/>
          <w:i w:val="false"/>
          <w:color w:val="000000"/>
          <w:sz w:val="28"/>
        </w:rPr>
        <w:t xml:space="preserve">
      7. Фитосанитарные мероприятия против вредных и особо опасных вредных организмов, за исключением стадных саранчовых (азиатская, мароккская и итальянский прус) и нестадных саранчовых, осуществляются за счет средств субъектов. </w:t>
      </w:r>
    </w:p>
    <w:bookmarkEnd w:id="34"/>
    <w:bookmarkStart w:name="z42" w:id="35"/>
    <w:p>
      <w:pPr>
        <w:spacing w:after="0"/>
        <w:ind w:left="0"/>
        <w:jc w:val="both"/>
      </w:pPr>
      <w:r>
        <w:rPr>
          <w:rFonts w:ascii="Times New Roman"/>
          <w:b w:val="false"/>
          <w:i w:val="false"/>
          <w:color w:val="000000"/>
          <w:sz w:val="28"/>
        </w:rPr>
        <w:t xml:space="preserve">
      8. Фитосанитарные мероприятия, осуществляемые за счет субъектов, включают в себя проведение фитосанитарных мероприятий против вредных и особо опасных вредных организмов, за исключением фитосанитарных мероприятий против стадных саранчовых (азиатская, мароккская и итальянский прус) и нестадных саранчовых, указанных в пунктах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w:t>
      </w:r>
    </w:p>
    <w:bookmarkEnd w:id="35"/>
    <w:bookmarkStart w:name="z43" w:id="36"/>
    <w:p>
      <w:pPr>
        <w:spacing w:after="0"/>
        <w:ind w:left="0"/>
        <w:jc w:val="both"/>
      </w:pPr>
      <w:r>
        <w:rPr>
          <w:rFonts w:ascii="Times New Roman"/>
          <w:b w:val="false"/>
          <w:i w:val="false"/>
          <w:color w:val="000000"/>
          <w:sz w:val="28"/>
        </w:rPr>
        <w:t>
      9. Фитосанитарные мероприятия против вредных и особо опасных вредных организмов осуществляются пестицидами, разрешенными для применения на территории Республики Казахстан.</w:t>
      </w:r>
    </w:p>
    <w:bookmarkEnd w:id="36"/>
    <w:bookmarkStart w:name="z44" w:id="37"/>
    <w:p>
      <w:pPr>
        <w:spacing w:after="0"/>
        <w:ind w:left="0"/>
        <w:jc w:val="both"/>
      </w:pPr>
      <w:r>
        <w:rPr>
          <w:rFonts w:ascii="Times New Roman"/>
          <w:b w:val="false"/>
          <w:i w:val="false"/>
          <w:color w:val="000000"/>
          <w:sz w:val="28"/>
        </w:rPr>
        <w:t>
      10. На основании систематических наблюдений по учету фенологии развития вредных и особо опасных вредных организмов, защищаемой культуры и (или) насаждений Методический центр проводит оперативное оповещение (сигнализационное сообщение) субъектов, местных исполнительных органов и районных территориальных подразделений ведомства уполномоченного органа о необходимости проведения обследований территорий и сроках проведения фитосанитарных мероприятий.</w:t>
      </w:r>
    </w:p>
    <w:bookmarkEnd w:id="37"/>
    <w:bookmarkStart w:name="z45" w:id="38"/>
    <w:p>
      <w:pPr>
        <w:spacing w:after="0"/>
        <w:ind w:left="0"/>
        <w:jc w:val="both"/>
      </w:pPr>
      <w:r>
        <w:rPr>
          <w:rFonts w:ascii="Times New Roman"/>
          <w:b w:val="false"/>
          <w:i w:val="false"/>
          <w:color w:val="000000"/>
          <w:sz w:val="28"/>
        </w:rPr>
        <w:t>
      11. Контроль за проведением фитосанитарного мониторинга и фитосанитарных мероприятий осуществляются ведомством уполномоченного органа и (или) его территориальными подразделениями.</w:t>
      </w:r>
    </w:p>
    <w:bookmarkEnd w:id="38"/>
    <w:bookmarkStart w:name="z97" w:id="39"/>
    <w:p>
      <w:pPr>
        <w:spacing w:after="0"/>
        <w:ind w:left="0"/>
        <w:jc w:val="both"/>
      </w:pPr>
      <w:r>
        <w:rPr>
          <w:rFonts w:ascii="Times New Roman"/>
          <w:b w:val="false"/>
          <w:i w:val="false"/>
          <w:color w:val="000000"/>
          <w:sz w:val="28"/>
        </w:rPr>
        <w:t xml:space="preserve">
      11-1. Транспортировка, хранение, применение и обезвреживание пестицидов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июня 2023 года № 249 "Об утверждении технического регламента о безопасности средств защиты растений (пестицидов)" (зарегистрирован в Реестре государственной регистрации нормативных правовых актов № 32940).</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приказом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left"/>
      </w:pPr>
      <w:r>
        <w:rPr>
          <w:rFonts w:ascii="Times New Roman"/>
          <w:b/>
          <w:i w:val="false"/>
          <w:color w:val="000000"/>
        </w:rPr>
        <w:t xml:space="preserve"> Параграф 1. Порядок проведения фитосанитарных мероприятий против нестадных саранчовых</w:t>
      </w:r>
    </w:p>
    <w:bookmarkEnd w:id="40"/>
    <w:bookmarkStart w:name="z47" w:id="41"/>
    <w:p>
      <w:pPr>
        <w:spacing w:after="0"/>
        <w:ind w:left="0"/>
        <w:jc w:val="both"/>
      </w:pPr>
      <w:r>
        <w:rPr>
          <w:rFonts w:ascii="Times New Roman"/>
          <w:b w:val="false"/>
          <w:i w:val="false"/>
          <w:color w:val="000000"/>
          <w:sz w:val="28"/>
        </w:rPr>
        <w:t>
      12. Организация и проведение фитосанитарных мероприятий по борьбе с нестадными саранчовыми с численностью выше ЭПВ осуществляются местными исполнительными органами областей, городов республиканского значения, столицы (далее – местные исполнительные органы).</w:t>
      </w:r>
    </w:p>
    <w:bookmarkEnd w:id="41"/>
    <w:bookmarkStart w:name="z48" w:id="42"/>
    <w:p>
      <w:pPr>
        <w:spacing w:after="0"/>
        <w:ind w:left="0"/>
        <w:jc w:val="both"/>
      </w:pPr>
      <w:r>
        <w:rPr>
          <w:rFonts w:ascii="Times New Roman"/>
          <w:b w:val="false"/>
          <w:i w:val="false"/>
          <w:color w:val="000000"/>
          <w:sz w:val="28"/>
        </w:rPr>
        <w:t xml:space="preserve">
      13. Фитосанитарные мероприятия против нестадных саранчовых включают в себя закуп пестицидов, услуг по их хранению, транспортировке, химической обработке мест заселения нестадными саранчовами с численностью выше ЭПВ осуществляется за счет и в пределах средств, предусмотренных в областном бюджете, бюджете города республиканского значения, столицы на соответствующий финансовый год в рамках утвержденной местным представительным органом области, города республиканского значения, столицы бюджетной программы. </w:t>
      </w:r>
    </w:p>
    <w:bookmarkEnd w:id="42"/>
    <w:bookmarkStart w:name="z49" w:id="43"/>
    <w:p>
      <w:pPr>
        <w:spacing w:after="0"/>
        <w:ind w:left="0"/>
        <w:jc w:val="both"/>
      </w:pPr>
      <w:r>
        <w:rPr>
          <w:rFonts w:ascii="Times New Roman"/>
          <w:b w:val="false"/>
          <w:i w:val="false"/>
          <w:color w:val="000000"/>
          <w:sz w:val="28"/>
        </w:rPr>
        <w:t>
      14. Бюджетные средства для проведения борьбы с нестадными саранчовами по каждому виду планируются на основе данных представляемых Методическим центром, согласованных с областным (городом республиканского значения, столицей) территориальным подразделением ведомства уполномоченного органа и утверждаемых местным исполнительным органом прогнозируемых объемов обработок.</w:t>
      </w:r>
    </w:p>
    <w:bookmarkEnd w:id="43"/>
    <w:bookmarkStart w:name="z50" w:id="44"/>
    <w:p>
      <w:pPr>
        <w:spacing w:after="0"/>
        <w:ind w:left="0"/>
        <w:jc w:val="both"/>
      </w:pPr>
      <w:r>
        <w:rPr>
          <w:rFonts w:ascii="Times New Roman"/>
          <w:b w:val="false"/>
          <w:i w:val="false"/>
          <w:color w:val="000000"/>
          <w:sz w:val="28"/>
        </w:rPr>
        <w:t xml:space="preserve">
      15. Закуп пестицидов, услуг по их хранению, транспортировке, химической обработке мест заселения нестадными саранчовыми с численностью выше ЭПВ осуществляется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о государственных закупках)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приказом Министра финансов Республики Казахстан от 9 октября 2024 года № 687 (зарегистрирован в Реестре государственной регистрации нормативных правовых актов № 35238) (далее – Правила государственных закупок).</w:t>
      </w:r>
    </w:p>
    <w:bookmarkEnd w:id="44"/>
    <w:p>
      <w:pPr>
        <w:spacing w:after="0"/>
        <w:ind w:left="0"/>
        <w:jc w:val="both"/>
      </w:pPr>
      <w:r>
        <w:rPr>
          <w:rFonts w:ascii="Times New Roman"/>
          <w:b w:val="false"/>
          <w:i w:val="false"/>
          <w:color w:val="000000"/>
          <w:sz w:val="28"/>
        </w:rPr>
        <w:t>
      Пестициды, услуги по их хранению, транспортировке, химической обработке мест заселения нестадными саранчовыми с численностью выше ЭПВ приобретаются одним лотом.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17. Площади распространения нестадных саранчовых с численностью выше ЭПВ, подлежащие обработке, определяются Методическим центром по согласованию с областными (городов республиканского значения, столицы) территориальными подразделениями ведомства уполномоченного органа и в течение 24 (двадцати четырех) часов после согласования предоставляются в местные исполнительные органы и поставщикам с указанием координат.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18. Химическая обработка мест заселения нестадными саранчовыми осуществляется поставщиками услуг в соответствии с требованиями регламента применения пестицидов путем опрыскивания мест заселения авиационным и (или) наземными способами, специальной опрыскивающей техникой, оснащенной измерительными приборами (термометром, анемометром), GPS-трекером и оборудованием, обеспечивающим постоянное перемешивание рабочего раствора.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19. Расчет потребности в специальной технике для проведения химических обработок мест заселения нестадными саранчовыми с численностью выше ЭПВ осуществляется с учетом погодно-климатических, географических условий и рельефа местности в течение 23 (двадцати трех) календарных дней, с нормой выработки:</w:t>
      </w:r>
    </w:p>
    <w:bookmarkEnd w:id="47"/>
    <w:p>
      <w:pPr>
        <w:spacing w:after="0"/>
        <w:ind w:left="0"/>
        <w:jc w:val="both"/>
      </w:pPr>
      <w:r>
        <w:rPr>
          <w:rFonts w:ascii="Times New Roman"/>
          <w:b w:val="false"/>
          <w:i w:val="false"/>
          <w:color w:val="000000"/>
          <w:sz w:val="28"/>
        </w:rPr>
        <w:t>
      по судам сверхлегкой авиации – 800 гектаров за сутки;</w:t>
      </w:r>
    </w:p>
    <w:p>
      <w:pPr>
        <w:spacing w:after="0"/>
        <w:ind w:left="0"/>
        <w:jc w:val="both"/>
      </w:pPr>
      <w:r>
        <w:rPr>
          <w:rFonts w:ascii="Times New Roman"/>
          <w:b w:val="false"/>
          <w:i w:val="false"/>
          <w:color w:val="000000"/>
          <w:sz w:val="28"/>
        </w:rPr>
        <w:t xml:space="preserve">
      по судам легкой авиации – 800 гектаров за сутки; </w:t>
      </w:r>
    </w:p>
    <w:p>
      <w:pPr>
        <w:spacing w:after="0"/>
        <w:ind w:left="0"/>
        <w:jc w:val="both"/>
      </w:pPr>
      <w:r>
        <w:rPr>
          <w:rFonts w:ascii="Times New Roman"/>
          <w:b w:val="false"/>
          <w:i w:val="false"/>
          <w:color w:val="000000"/>
          <w:sz w:val="28"/>
        </w:rPr>
        <w:t>
      по беспилотным авиационным системам – 50 гектаров за сутки;</w:t>
      </w:r>
    </w:p>
    <w:p>
      <w:pPr>
        <w:spacing w:after="0"/>
        <w:ind w:left="0"/>
        <w:jc w:val="both"/>
      </w:pPr>
      <w:r>
        <w:rPr>
          <w:rFonts w:ascii="Times New Roman"/>
          <w:b w:val="false"/>
          <w:i w:val="false"/>
          <w:color w:val="000000"/>
          <w:sz w:val="28"/>
        </w:rPr>
        <w:t>
      по аэрозольным генераторам с силовой установкой более 180 лошадиных сил – 750 гектаров за сутки;</w:t>
      </w:r>
    </w:p>
    <w:p>
      <w:pPr>
        <w:spacing w:after="0"/>
        <w:ind w:left="0"/>
        <w:jc w:val="both"/>
      </w:pPr>
      <w:r>
        <w:rPr>
          <w:rFonts w:ascii="Times New Roman"/>
          <w:b w:val="false"/>
          <w:i w:val="false"/>
          <w:color w:val="000000"/>
          <w:sz w:val="28"/>
        </w:rPr>
        <w:t xml:space="preserve">
      по аэрозольным генераторам с силовой установкой до 180 лошадиных сил – 300 гектаров за сутки; </w:t>
      </w:r>
    </w:p>
    <w:p>
      <w:pPr>
        <w:spacing w:after="0"/>
        <w:ind w:left="0"/>
        <w:jc w:val="both"/>
      </w:pPr>
      <w:r>
        <w:rPr>
          <w:rFonts w:ascii="Times New Roman"/>
          <w:b w:val="false"/>
          <w:i w:val="false"/>
          <w:color w:val="000000"/>
          <w:sz w:val="28"/>
        </w:rPr>
        <w:t>
      по наземным вентиляторным и штанговым опрыскивателям – 100 гектаров за сутки;</w:t>
      </w:r>
    </w:p>
    <w:p>
      <w:pPr>
        <w:spacing w:after="0"/>
        <w:ind w:left="0"/>
        <w:jc w:val="both"/>
      </w:pPr>
      <w:r>
        <w:rPr>
          <w:rFonts w:ascii="Times New Roman"/>
          <w:b w:val="false"/>
          <w:i w:val="false"/>
          <w:color w:val="000000"/>
          <w:sz w:val="28"/>
        </w:rPr>
        <w:t>
      по наземным атомайзерным, ультрамалообъемным опрыскивателям всех модификаций – 150 гектаров за сутки;</w:t>
      </w:r>
    </w:p>
    <w:p>
      <w:pPr>
        <w:spacing w:after="0"/>
        <w:ind w:left="0"/>
        <w:jc w:val="both"/>
      </w:pPr>
      <w:r>
        <w:rPr>
          <w:rFonts w:ascii="Times New Roman"/>
          <w:b w:val="false"/>
          <w:i w:val="false"/>
          <w:color w:val="000000"/>
          <w:sz w:val="28"/>
        </w:rPr>
        <w:t>
      по ранцевым опрыскивателям – 5 гектаров за сутки.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20. Фактическая площадь мест заселения нестадными саранчовыми с численностью выше ЭПВ в соответствующем году подтверждается актом обследования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8"/>
    <w:bookmarkStart w:name="z62" w:id="49"/>
    <w:p>
      <w:pPr>
        <w:spacing w:after="0"/>
        <w:ind w:left="0"/>
        <w:jc w:val="both"/>
      </w:pPr>
      <w:r>
        <w:rPr>
          <w:rFonts w:ascii="Times New Roman"/>
          <w:b w:val="false"/>
          <w:i w:val="false"/>
          <w:color w:val="000000"/>
          <w:sz w:val="28"/>
        </w:rPr>
        <w:t>
      21. Акт обследования подписывается комиссией, созданной решением местного исполнительного органа (далее – комиссия), в составе: председатель комиссии – руководитель (или его заместителя) структурного подразделения местного исполнительного органа в области защиты растений, члены комиссии – специалисты структурного подразделения местного исполнительного органа в области защиты растений и субъекты, в течение 3 (трех) рабочих дней после завершения обследования.</w:t>
      </w:r>
    </w:p>
    <w:bookmarkEnd w:id="49"/>
    <w:bookmarkStart w:name="z63" w:id="50"/>
    <w:p>
      <w:pPr>
        <w:spacing w:after="0"/>
        <w:ind w:left="0"/>
        <w:jc w:val="both"/>
      </w:pPr>
      <w:r>
        <w:rPr>
          <w:rFonts w:ascii="Times New Roman"/>
          <w:b w:val="false"/>
          <w:i w:val="false"/>
          <w:color w:val="000000"/>
          <w:sz w:val="28"/>
        </w:rPr>
        <w:t>
      При этом в случае обследования земель запаса в состав комиссии включаются представители Методического центра и структурного подразделения местного исполнительного органа в области земельных отношений.</w:t>
      </w:r>
    </w:p>
    <w:bookmarkEnd w:id="50"/>
    <w:bookmarkStart w:name="z64" w:id="51"/>
    <w:p>
      <w:pPr>
        <w:spacing w:after="0"/>
        <w:ind w:left="0"/>
        <w:jc w:val="left"/>
      </w:pPr>
      <w:r>
        <w:rPr>
          <w:rFonts w:ascii="Times New Roman"/>
          <w:b/>
          <w:i w:val="false"/>
          <w:color w:val="000000"/>
        </w:rPr>
        <w:t xml:space="preserve"> Параграф 2. Порядок проведения фитосанитарных мероприятий против стадных саранчовых (азиатская, мароккская и итальянский прус)</w:t>
      </w:r>
    </w:p>
    <w:bookmarkEnd w:id="51"/>
    <w:bookmarkStart w:name="z65" w:id="52"/>
    <w:p>
      <w:pPr>
        <w:spacing w:after="0"/>
        <w:ind w:left="0"/>
        <w:jc w:val="both"/>
      </w:pPr>
      <w:r>
        <w:rPr>
          <w:rFonts w:ascii="Times New Roman"/>
          <w:b w:val="false"/>
          <w:i w:val="false"/>
          <w:color w:val="000000"/>
          <w:sz w:val="28"/>
        </w:rPr>
        <w:t>
      22. Организация фитосанитарных мероприятий против стадных саранчовых (азиатская, мароккская и итальянский прус) осуществляется ведомством уполномоченного органа за счет и в пределах средств, предусмотренных в республиканском бюджете на соответствующий финансовый год в рамках соответствующей бюджетной программы.</w:t>
      </w:r>
    </w:p>
    <w:bookmarkEnd w:id="52"/>
    <w:bookmarkStart w:name="z66" w:id="53"/>
    <w:p>
      <w:pPr>
        <w:spacing w:after="0"/>
        <w:ind w:left="0"/>
        <w:jc w:val="both"/>
      </w:pPr>
      <w:r>
        <w:rPr>
          <w:rFonts w:ascii="Times New Roman"/>
          <w:b w:val="false"/>
          <w:i w:val="false"/>
          <w:color w:val="000000"/>
          <w:sz w:val="28"/>
        </w:rPr>
        <w:t>
      23. Фитосанитарные мероприятия по борьбе со стадными саранчовыми (азиатская, мароккская и итальянский прус) включают в себя:</w:t>
      </w:r>
    </w:p>
    <w:bookmarkEnd w:id="53"/>
    <w:bookmarkStart w:name="z99" w:id="54"/>
    <w:p>
      <w:pPr>
        <w:spacing w:after="0"/>
        <w:ind w:left="0"/>
        <w:jc w:val="both"/>
      </w:pPr>
      <w:r>
        <w:rPr>
          <w:rFonts w:ascii="Times New Roman"/>
          <w:b w:val="false"/>
          <w:i w:val="false"/>
          <w:color w:val="000000"/>
          <w:sz w:val="28"/>
        </w:rPr>
        <w:t>
      1) закуп пестицидов для проведения химических обработок против стадных саранчовых (азиатская, мароккская и итальянский прус) с численностью выше ЭПВ, а также формирование, хранение и обновление запаса пестицидов;</w:t>
      </w:r>
    </w:p>
    <w:bookmarkEnd w:id="54"/>
    <w:bookmarkStart w:name="z100" w:id="55"/>
    <w:p>
      <w:pPr>
        <w:spacing w:after="0"/>
        <w:ind w:left="0"/>
        <w:jc w:val="both"/>
      </w:pPr>
      <w:r>
        <w:rPr>
          <w:rFonts w:ascii="Times New Roman"/>
          <w:b w:val="false"/>
          <w:i w:val="false"/>
          <w:color w:val="000000"/>
          <w:sz w:val="28"/>
        </w:rPr>
        <w:t>
      2) закуп услуг по хранению и транспортировке пестицидов против стадных саранчовых (азиатская, мароккская и итальянский прус) с численностью выше ЭПВ;</w:t>
      </w:r>
    </w:p>
    <w:bookmarkEnd w:id="55"/>
    <w:bookmarkStart w:name="z101" w:id="56"/>
    <w:p>
      <w:pPr>
        <w:spacing w:after="0"/>
        <w:ind w:left="0"/>
        <w:jc w:val="both"/>
      </w:pPr>
      <w:r>
        <w:rPr>
          <w:rFonts w:ascii="Times New Roman"/>
          <w:b w:val="false"/>
          <w:i w:val="false"/>
          <w:color w:val="000000"/>
          <w:sz w:val="28"/>
        </w:rPr>
        <w:t>
      3) закуп услуг по проведению химической обработки мест заселения стадными саранчовыми (азиатская, мароккская и итальянский прус) с численностью выше ЭПВ.</w:t>
      </w:r>
    </w:p>
    <w:bookmarkEnd w:id="56"/>
    <w:bookmarkStart w:name="z102" w:id="57"/>
    <w:p>
      <w:pPr>
        <w:spacing w:after="0"/>
        <w:ind w:left="0"/>
        <w:jc w:val="both"/>
      </w:pPr>
      <w:r>
        <w:rPr>
          <w:rFonts w:ascii="Times New Roman"/>
          <w:b w:val="false"/>
          <w:i w:val="false"/>
          <w:color w:val="000000"/>
          <w:sz w:val="28"/>
        </w:rPr>
        <w:t>
      Пестициды, услуги по их хранению, транспортировке, химической обработке мест заселения стадными саранчовыми (азиатская, мароккская и итальянский прус) с численностью выше ЭПВ приобретаются одним лотом.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24. Бюджетные средства для проведения фитосанитарных мероприятий против стадных саранчовых (азиатская, мароккская и итальянский прус) по каждому виду планируются на основе данных представляемых Методическим центром, согласованных с областным территориальным подразделением ведомства уполномоченного органа прогнозируемых объемов обработок.</w:t>
      </w:r>
    </w:p>
    <w:bookmarkEnd w:id="58"/>
    <w:bookmarkStart w:name="z71" w:id="59"/>
    <w:p>
      <w:pPr>
        <w:spacing w:after="0"/>
        <w:ind w:left="0"/>
        <w:jc w:val="both"/>
      </w:pPr>
      <w:r>
        <w:rPr>
          <w:rFonts w:ascii="Times New Roman"/>
          <w:b w:val="false"/>
          <w:i w:val="false"/>
          <w:color w:val="000000"/>
          <w:sz w:val="28"/>
        </w:rPr>
        <w:t>
      25. Закуп пестицидов для проведения химических обработок против стадных саранчовых (азиатская, мароккская и итальянский прус) с численностью выше ЭПВ, а также закуп услуг по хранению и транспортировке пестицидов против стадных саранчовых (азиатская, мароккская и итальянский прус) с численностью выше ЭПВ и услуг по проведению химической обработки мест заселения стадными саранчовыми (азиатская, мароккская и итальянский прус) с численностью выше ЭПВ осуществляется ведомством уполномоченного органа в соответствии с Законом о государственных закупках и Правилами государственных закупок.</w:t>
      </w:r>
    </w:p>
    <w:bookmarkEnd w:id="59"/>
    <w:bookmarkStart w:name="z72" w:id="60"/>
    <w:p>
      <w:pPr>
        <w:spacing w:after="0"/>
        <w:ind w:left="0"/>
        <w:jc w:val="both"/>
      </w:pPr>
      <w:r>
        <w:rPr>
          <w:rFonts w:ascii="Times New Roman"/>
          <w:b w:val="false"/>
          <w:i w:val="false"/>
          <w:color w:val="000000"/>
          <w:sz w:val="28"/>
        </w:rPr>
        <w:t>
      26. Расчет потребности в специальной технике для проведения химических обработок мест заселения стадными саранчовыми (азиатская, мароккская и итальянский прус) с численностью выше ЭПВ осуществляется с учетом погодно-климатических, географических условий и рельефа местности в течение 23 (двадцати трех) календарных дней, с нормой выработки на 1 единицу техники:</w:t>
      </w:r>
    </w:p>
    <w:bookmarkEnd w:id="60"/>
    <w:p>
      <w:pPr>
        <w:spacing w:after="0"/>
        <w:ind w:left="0"/>
        <w:jc w:val="both"/>
      </w:pPr>
      <w:r>
        <w:rPr>
          <w:rFonts w:ascii="Times New Roman"/>
          <w:b w:val="false"/>
          <w:i w:val="false"/>
          <w:color w:val="000000"/>
          <w:sz w:val="28"/>
        </w:rPr>
        <w:t>
      по судам сверхлегкой авиации – 800 гектаров за сутки;</w:t>
      </w:r>
    </w:p>
    <w:p>
      <w:pPr>
        <w:spacing w:after="0"/>
        <w:ind w:left="0"/>
        <w:jc w:val="both"/>
      </w:pPr>
      <w:r>
        <w:rPr>
          <w:rFonts w:ascii="Times New Roman"/>
          <w:b w:val="false"/>
          <w:i w:val="false"/>
          <w:color w:val="000000"/>
          <w:sz w:val="28"/>
        </w:rPr>
        <w:t xml:space="preserve">
      по судам легкой авиации – 800 гектаров за сутки; </w:t>
      </w:r>
    </w:p>
    <w:p>
      <w:pPr>
        <w:spacing w:after="0"/>
        <w:ind w:left="0"/>
        <w:jc w:val="both"/>
      </w:pPr>
      <w:r>
        <w:rPr>
          <w:rFonts w:ascii="Times New Roman"/>
          <w:b w:val="false"/>
          <w:i w:val="false"/>
          <w:color w:val="000000"/>
          <w:sz w:val="28"/>
        </w:rPr>
        <w:t>
      по беспилотным авиационным системам – 50 гектаров за сутки;</w:t>
      </w:r>
    </w:p>
    <w:p>
      <w:pPr>
        <w:spacing w:after="0"/>
        <w:ind w:left="0"/>
        <w:jc w:val="both"/>
      </w:pPr>
      <w:r>
        <w:rPr>
          <w:rFonts w:ascii="Times New Roman"/>
          <w:b w:val="false"/>
          <w:i w:val="false"/>
          <w:color w:val="000000"/>
          <w:sz w:val="28"/>
        </w:rPr>
        <w:t>
      по аэрозольным генераторам с силовой установкой более 180 лошадиных сил – 750 гектаров за сутки;</w:t>
      </w:r>
    </w:p>
    <w:p>
      <w:pPr>
        <w:spacing w:after="0"/>
        <w:ind w:left="0"/>
        <w:jc w:val="both"/>
      </w:pPr>
      <w:r>
        <w:rPr>
          <w:rFonts w:ascii="Times New Roman"/>
          <w:b w:val="false"/>
          <w:i w:val="false"/>
          <w:color w:val="000000"/>
          <w:sz w:val="28"/>
        </w:rPr>
        <w:t xml:space="preserve">
      по аэрозольным генераторам с силовой установкой до 180 лошадиных сил – 300 гектаров за сутки; </w:t>
      </w:r>
    </w:p>
    <w:p>
      <w:pPr>
        <w:spacing w:after="0"/>
        <w:ind w:left="0"/>
        <w:jc w:val="both"/>
      </w:pPr>
      <w:r>
        <w:rPr>
          <w:rFonts w:ascii="Times New Roman"/>
          <w:b w:val="false"/>
          <w:i w:val="false"/>
          <w:color w:val="000000"/>
          <w:sz w:val="28"/>
        </w:rPr>
        <w:t>
      по наземным вентиляторным и штанговым опрыскивателям – 100 гектаров за сутки;</w:t>
      </w:r>
    </w:p>
    <w:p>
      <w:pPr>
        <w:spacing w:after="0"/>
        <w:ind w:left="0"/>
        <w:jc w:val="both"/>
      </w:pPr>
      <w:r>
        <w:rPr>
          <w:rFonts w:ascii="Times New Roman"/>
          <w:b w:val="false"/>
          <w:i w:val="false"/>
          <w:color w:val="000000"/>
          <w:sz w:val="28"/>
        </w:rPr>
        <w:t>
      по наземным атомайзерным, ультрамалообъемным опрыскивателям всех модификаций – 150 гектаров за сутки;</w:t>
      </w:r>
    </w:p>
    <w:p>
      <w:pPr>
        <w:spacing w:after="0"/>
        <w:ind w:left="0"/>
        <w:jc w:val="both"/>
      </w:pPr>
      <w:r>
        <w:rPr>
          <w:rFonts w:ascii="Times New Roman"/>
          <w:b w:val="false"/>
          <w:i w:val="false"/>
          <w:color w:val="000000"/>
          <w:sz w:val="28"/>
        </w:rPr>
        <w:t>
      по ранцевым опрыскивателям – 5 гектаров за сутки.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1"/>
    <w:p>
      <w:pPr>
        <w:spacing w:after="0"/>
        <w:ind w:left="0"/>
        <w:jc w:val="both"/>
      </w:pPr>
      <w:r>
        <w:rPr>
          <w:rFonts w:ascii="Times New Roman"/>
          <w:b w:val="false"/>
          <w:i w:val="false"/>
          <w:color w:val="000000"/>
          <w:sz w:val="28"/>
        </w:rPr>
        <w:t>
      27-1. Площади распространения стадных саранчовых (азиатская, мароккская и итальянский прус) с численностью выше ЭПВ, подлежащие обработке, определяются Методическим центром и в течение 24 (двадцати четырех) часов с момента выявления площади распространения предоставляются областным (городов республиканского значения, столицы) территориальным подразделениям ведомства уполномоченного органа и поставщикам с указанием координат.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27-1 в соответствии с приказом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62"/>
    <w:p>
      <w:pPr>
        <w:spacing w:after="0"/>
        <w:ind w:left="0"/>
        <w:jc w:val="both"/>
      </w:pPr>
      <w:r>
        <w:rPr>
          <w:rFonts w:ascii="Times New Roman"/>
          <w:b w:val="false"/>
          <w:i w:val="false"/>
          <w:color w:val="000000"/>
          <w:sz w:val="28"/>
        </w:rPr>
        <w:t>
      28. Химическая обработка мест заселения стадными саранчовыми (азиатская, мароккская и итальянский прус) осуществляется поставщиками услуг в соответствии с фитосанитарными нормативами и требованиями регламента применения пестицидов путем опрыскивания мест заселения авиационным и (или) наземными способами, специальной опрыскивающей техникой, оснащенной измерительными приборами (термометром, анемометром), GPS-трекером и оборудованием, обеспечивающим постоянное перемешивание рабочего раствора.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сельского хозяйства РК от 12.03.2025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29. Площади по проведению химических обработок против стадных саранчовых (азиатская, мароккская и итальянский прус) определяются согласно значениям ЭПВ и составляются на основе данных Методического центра, согласовываются с местными исполнительными органами и представляются в ведомство уполномоченного органа.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фитосанитарных мероприятий</w:t>
            </w:r>
          </w:p>
        </w:tc>
      </w:tr>
    </w:tbl>
    <w:bookmarkStart w:name="z83" w:id="64"/>
    <w:p>
      <w:pPr>
        <w:spacing w:after="0"/>
        <w:ind w:left="0"/>
        <w:jc w:val="left"/>
      </w:pPr>
      <w:r>
        <w:rPr>
          <w:rFonts w:ascii="Times New Roman"/>
          <w:b/>
          <w:i w:val="false"/>
          <w:color w:val="000000"/>
        </w:rPr>
        <w:t xml:space="preserve"> Акт обследования</w:t>
      </w:r>
    </w:p>
    <w:bookmarkEnd w:id="64"/>
    <w:bookmarkStart w:name="z84" w:id="65"/>
    <w:p>
      <w:pPr>
        <w:spacing w:after="0"/>
        <w:ind w:left="0"/>
        <w:jc w:val="left"/>
      </w:pPr>
      <w:r>
        <w:rPr>
          <w:rFonts w:ascii="Times New Roman"/>
          <w:b/>
          <w:i w:val="false"/>
          <w:color w:val="000000"/>
        </w:rPr>
        <w:t xml:space="preserve"> от "__" ________ 20__года № ____</w:t>
      </w:r>
    </w:p>
    <w:bookmarkEnd w:id="65"/>
    <w:bookmarkStart w:name="z85" w:id="66"/>
    <w:p>
      <w:pPr>
        <w:spacing w:after="0"/>
        <w:ind w:left="0"/>
        <w:jc w:val="both"/>
      </w:pPr>
      <w:r>
        <w:rPr>
          <w:rFonts w:ascii="Times New Roman"/>
          <w:b w:val="false"/>
          <w:i w:val="false"/>
          <w:color w:val="000000"/>
          <w:sz w:val="28"/>
        </w:rPr>
        <w:t>
      __________________________</w:t>
      </w:r>
    </w:p>
    <w:bookmarkEnd w:id="66"/>
    <w:bookmarkStart w:name="z86" w:id="67"/>
    <w:p>
      <w:pPr>
        <w:spacing w:after="0"/>
        <w:ind w:left="0"/>
        <w:jc w:val="both"/>
      </w:pPr>
      <w:r>
        <w:rPr>
          <w:rFonts w:ascii="Times New Roman"/>
          <w:b w:val="false"/>
          <w:i w:val="false"/>
          <w:color w:val="000000"/>
          <w:sz w:val="28"/>
        </w:rPr>
        <w:t>
      (место заключения акта)</w:t>
      </w:r>
    </w:p>
    <w:bookmarkEnd w:id="67"/>
    <w:bookmarkStart w:name="z87" w:id="68"/>
    <w:p>
      <w:pPr>
        <w:spacing w:after="0"/>
        <w:ind w:left="0"/>
        <w:jc w:val="both"/>
      </w:pPr>
      <w:r>
        <w:rPr>
          <w:rFonts w:ascii="Times New Roman"/>
          <w:b w:val="false"/>
          <w:i w:val="false"/>
          <w:color w:val="000000"/>
          <w:sz w:val="28"/>
        </w:rPr>
        <w:t>
      Комиссия, созданная _____________________________________________</w:t>
      </w:r>
    </w:p>
    <w:bookmarkEnd w:id="68"/>
    <w:bookmarkStart w:name="z88" w:id="69"/>
    <w:p>
      <w:pPr>
        <w:spacing w:after="0"/>
        <w:ind w:left="0"/>
        <w:jc w:val="both"/>
      </w:pPr>
      <w:r>
        <w:rPr>
          <w:rFonts w:ascii="Times New Roman"/>
          <w:b w:val="false"/>
          <w:i w:val="false"/>
          <w:color w:val="000000"/>
          <w:sz w:val="28"/>
        </w:rPr>
        <w:t>
                         (указать: чьим решением создана, дату и номер решения)</w:t>
      </w:r>
    </w:p>
    <w:bookmarkEnd w:id="69"/>
    <w:bookmarkStart w:name="z89" w:id="70"/>
    <w:p>
      <w:pPr>
        <w:spacing w:after="0"/>
        <w:ind w:left="0"/>
        <w:jc w:val="both"/>
      </w:pPr>
      <w:r>
        <w:rPr>
          <w:rFonts w:ascii="Times New Roman"/>
          <w:b w:val="false"/>
          <w:i w:val="false"/>
          <w:color w:val="000000"/>
          <w:sz w:val="28"/>
        </w:rPr>
        <w:t>
      составила настоящий акт обследования о нижеследующем: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вредного организма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Заселенная площадь,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обработке,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экономического порога вредоносности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71"/>
      <w:r>
        <w:rPr>
          <w:rFonts w:ascii="Times New Roman"/>
          <w:b w:val="false"/>
          <w:i w:val="false"/>
          <w:color w:val="000000"/>
          <w:sz w:val="28"/>
        </w:rPr>
        <w:t>
      Председатель Комиссии ___________________________________________________</w:t>
      </w:r>
    </w:p>
    <w:bookmarkEnd w:id="7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 w:id="72"/>
      <w:r>
        <w:rPr>
          <w:rFonts w:ascii="Times New Roman"/>
          <w:b w:val="false"/>
          <w:i w:val="false"/>
          <w:color w:val="000000"/>
          <w:sz w:val="28"/>
        </w:rPr>
        <w:t xml:space="preserve">
      Члены Комиссии _________________________________________________________ </w:t>
      </w:r>
    </w:p>
    <w:bookmarkEnd w:id="7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 w:id="73"/>
    <w:p>
      <w:pPr>
        <w:spacing w:after="0"/>
        <w:ind w:left="0"/>
        <w:jc w:val="both"/>
      </w:pPr>
      <w:r>
        <w:rPr>
          <w:rFonts w:ascii="Times New Roman"/>
          <w:b w:val="false"/>
          <w:i w:val="false"/>
          <w:color w:val="000000"/>
          <w:sz w:val="28"/>
        </w:rPr>
        <w:t>
      Физическое или юридическое лицо/Представители</w:t>
      </w:r>
    </w:p>
    <w:bookmarkEnd w:id="73"/>
    <w:p>
      <w:pPr>
        <w:spacing w:after="0"/>
        <w:ind w:left="0"/>
        <w:jc w:val="both"/>
      </w:pPr>
      <w:bookmarkStart w:name="z95" w:id="74"/>
      <w:r>
        <w:rPr>
          <w:rFonts w:ascii="Times New Roman"/>
          <w:b w:val="false"/>
          <w:i w:val="false"/>
          <w:color w:val="000000"/>
          <w:sz w:val="28"/>
        </w:rPr>
        <w:t>
      ________________________________________________________________________________</w:t>
      </w:r>
    </w:p>
    <w:bookmarkEnd w:id="74"/>
    <w:p>
      <w:pPr>
        <w:spacing w:after="0"/>
        <w:ind w:left="0"/>
        <w:jc w:val="both"/>
      </w:pPr>
      <w:r>
        <w:rPr>
          <w:rFonts w:ascii="Times New Roman"/>
          <w:b w:val="false"/>
          <w:i w:val="false"/>
          <w:color w:val="000000"/>
          <w:sz w:val="28"/>
        </w:rPr>
        <w:t xml:space="preserve">   (подпись,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 xml:space="preserve">        наименование юридического лица)/(подпись, фамилия, имя, отчество (при его наличии))</w:t>
      </w:r>
    </w:p>
    <w:p>
      <w:pPr>
        <w:spacing w:after="0"/>
        <w:ind w:left="0"/>
        <w:jc w:val="both"/>
      </w:pPr>
      <w:bookmarkStart w:name="z96" w:id="75"/>
      <w:r>
        <w:rPr>
          <w:rFonts w:ascii="Times New Roman"/>
          <w:b w:val="false"/>
          <w:i w:val="false"/>
          <w:color w:val="000000"/>
          <w:sz w:val="28"/>
        </w:rPr>
        <w:t xml:space="preserve">
      Примечание: * – при обследовании земель запаса подписывается представителем </w:t>
      </w:r>
    </w:p>
    <w:bookmarkEnd w:id="75"/>
    <w:p>
      <w:pPr>
        <w:spacing w:after="0"/>
        <w:ind w:left="0"/>
        <w:jc w:val="both"/>
      </w:pPr>
      <w:r>
        <w:rPr>
          <w:rFonts w:ascii="Times New Roman"/>
          <w:b w:val="false"/>
          <w:i w:val="false"/>
          <w:color w:val="000000"/>
          <w:sz w:val="28"/>
        </w:rPr>
        <w:t xml:space="preserve">государственного учреждения "Республиканский методический центр фитосанитарной </w:t>
      </w:r>
    </w:p>
    <w:p>
      <w:pPr>
        <w:spacing w:after="0"/>
        <w:ind w:left="0"/>
        <w:jc w:val="both"/>
      </w:pPr>
      <w:r>
        <w:rPr>
          <w:rFonts w:ascii="Times New Roman"/>
          <w:b w:val="false"/>
          <w:i w:val="false"/>
          <w:color w:val="000000"/>
          <w:sz w:val="28"/>
        </w:rPr>
        <w:t xml:space="preserve">диагностики и прогнозов" Комитета государственной инспекции в агропромышленном </w:t>
      </w:r>
    </w:p>
    <w:p>
      <w:pPr>
        <w:spacing w:after="0"/>
        <w:ind w:left="0"/>
        <w:jc w:val="both"/>
      </w:pPr>
      <w:r>
        <w:rPr>
          <w:rFonts w:ascii="Times New Roman"/>
          <w:b w:val="false"/>
          <w:i w:val="false"/>
          <w:color w:val="000000"/>
          <w:sz w:val="28"/>
        </w:rPr>
        <w:t xml:space="preserve">комплексе Министерства сельского хозяйства Республики Казахстан и структурного </w:t>
      </w:r>
    </w:p>
    <w:p>
      <w:pPr>
        <w:spacing w:after="0"/>
        <w:ind w:left="0"/>
        <w:jc w:val="both"/>
      </w:pPr>
      <w:r>
        <w:rPr>
          <w:rFonts w:ascii="Times New Roman"/>
          <w:b w:val="false"/>
          <w:i w:val="false"/>
          <w:color w:val="000000"/>
          <w:sz w:val="28"/>
        </w:rPr>
        <w:t xml:space="preserve">подразделения местного исполнительного органа областей, городов республиканского </w:t>
      </w:r>
    </w:p>
    <w:p>
      <w:pPr>
        <w:spacing w:after="0"/>
        <w:ind w:left="0"/>
        <w:jc w:val="both"/>
      </w:pPr>
      <w:r>
        <w:rPr>
          <w:rFonts w:ascii="Times New Roman"/>
          <w:b w:val="false"/>
          <w:i w:val="false"/>
          <w:color w:val="000000"/>
          <w:sz w:val="28"/>
        </w:rPr>
        <w:t>значения и столицы, осуществляющее функции в области земельных отношений.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