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8b75" w14:textId="4678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части золотовалютных активов Национального Банка Республики Казахстан во внешнее управление</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марта 2020 года № 30. Зарегистрировано в Министерстве юстиции Республики Казахстан 1 апреля 2020 года № 20249.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в целях повышения эффективности управления золотовалютными активами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23.09.2024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части золотовалютных активов Национального Банка Республики Казахстан во внешнее управление.</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17 "Об утверждении Правил передачи части золотовалютных активов Национального Банка Республики Казахстан во внешнее управление" (зарегистрировано в Реестре государственной регистрации нормативных правовых актов под № 13225, опубликовано 5 марта 2016 года в информационно-правовой системе "Әділет"); </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августа 2016 года № 174 "О внесении изменений и дополнений в постановление Правления Национального Банка Республики Казахстан от 28 января 2016 года №17 "Об утверждении Правил передачи части золотовалютных активов Национального Банка Республики Казахстан во внешнее управление" (зарегистрировано в Реестре государственной регистрации нормативных правовых актов под № 14253, опубликовано 7 октября 2016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монетарных операций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xml:space="preserve">
      1) совместно с Юридическим департаментом государственную регистрацию настоящего постановления в Министерстве юстиции Республики Казахстан; </w:t>
      </w:r>
    </w:p>
    <w:bookmarkEnd w:id="6"/>
    <w:bookmarkStart w:name="z11"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8"/>
    <w:bookmarkStart w:name="z13" w:id="9"/>
    <w:p>
      <w:pPr>
        <w:spacing w:after="0"/>
        <w:ind w:left="0"/>
        <w:jc w:val="both"/>
      </w:pPr>
      <w:r>
        <w:rPr>
          <w:rFonts w:ascii="Times New Roman"/>
          <w:b w:val="false"/>
          <w:i w:val="false"/>
          <w:color w:val="000000"/>
          <w:sz w:val="28"/>
        </w:rPr>
        <w:t>
      4.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0"/>
    <w:bookmarkStart w:name="z15"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2020 года № 30</w:t>
            </w:r>
          </w:p>
        </w:tc>
      </w:tr>
    </w:tbl>
    <w:bookmarkStart w:name="z18" w:id="12"/>
    <w:p>
      <w:pPr>
        <w:spacing w:after="0"/>
        <w:ind w:left="0"/>
        <w:jc w:val="left"/>
      </w:pPr>
      <w:r>
        <w:rPr>
          <w:rFonts w:ascii="Times New Roman"/>
          <w:b/>
          <w:i w:val="false"/>
          <w:color w:val="000000"/>
        </w:rPr>
        <w:t xml:space="preserve"> Правила передачи части золотовалютных активов Национального Банка Республики Казахстан во внешнее управление</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передачи части золотовалютных активов Национального Банка Республики Казахстан во внешнее управление (далее – Правила) разработаны в соответствии с </w:t>
      </w:r>
      <w:r>
        <w:rPr>
          <w:rFonts w:ascii="Times New Roman"/>
          <w:b w:val="false"/>
          <w:i w:val="false"/>
          <w:color w:val="000000"/>
          <w:sz w:val="28"/>
        </w:rPr>
        <w:t>подпунктом 39)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Инвестиционной стратегией по управлению золотовалютными активами Национального Банка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17 июня 2015 года № 112 (далее – Инвестиционная стратегия по управлению золотовалютными активами), и определяют порядок передачи части золотовалютных активов Национального Банка Республики Казахстан (далее – Национальный Банк) во внешнее управление.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23.09.2024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xml:space="preserve">
      1) активное управление активами – вид управления, при котором значение изменчивости отклонения доходности (tracking error) превышает 2 (два) процента; </w:t>
      </w:r>
    </w:p>
    <w:bookmarkEnd w:id="16"/>
    <w:bookmarkStart w:name="z23" w:id="17"/>
    <w:p>
      <w:pPr>
        <w:spacing w:after="0"/>
        <w:ind w:left="0"/>
        <w:jc w:val="both"/>
      </w:pPr>
      <w:r>
        <w:rPr>
          <w:rFonts w:ascii="Times New Roman"/>
          <w:b w:val="false"/>
          <w:i w:val="false"/>
          <w:color w:val="000000"/>
          <w:sz w:val="28"/>
        </w:rPr>
        <w:t>
      2) усовершенствованное индексное управление активами – вид управления, при котором значение изменчивости отклонения доходности (tracking error) составляет от 0,5 (ноль целых пять десятых) до 2 (два) процентов включительно. При усовершенствованном индексном управлении предполагается умеренное отклонение от основных показателей эталонного портфеля;</w:t>
      </w:r>
    </w:p>
    <w:bookmarkEnd w:id="17"/>
    <w:bookmarkStart w:name="z24" w:id="18"/>
    <w:p>
      <w:pPr>
        <w:spacing w:after="0"/>
        <w:ind w:left="0"/>
        <w:jc w:val="both"/>
      </w:pPr>
      <w:r>
        <w:rPr>
          <w:rFonts w:ascii="Times New Roman"/>
          <w:b w:val="false"/>
          <w:i w:val="false"/>
          <w:color w:val="000000"/>
          <w:sz w:val="28"/>
        </w:rPr>
        <w:t xml:space="preserve">
      3) пассивное (индексное) управление активами – вид управления, при котором значение изменчивости отклонения доходности (tracking error) не превышает 0,5 (ноль целых пять десятых) процента; </w:t>
      </w:r>
    </w:p>
    <w:bookmarkEnd w:id="18"/>
    <w:bookmarkStart w:name="z25" w:id="19"/>
    <w:p>
      <w:pPr>
        <w:spacing w:after="0"/>
        <w:ind w:left="0"/>
        <w:jc w:val="both"/>
      </w:pPr>
      <w:r>
        <w:rPr>
          <w:rFonts w:ascii="Times New Roman"/>
          <w:b w:val="false"/>
          <w:i w:val="false"/>
          <w:color w:val="000000"/>
          <w:sz w:val="28"/>
        </w:rPr>
        <w:t>
      4) информационный коэффициент (information ratio) – отношение уровня сверхдоходности к изменчивости отклонения доходности (tracking error);</w:t>
      </w:r>
    </w:p>
    <w:bookmarkEnd w:id="19"/>
    <w:bookmarkStart w:name="z26" w:id="20"/>
    <w:p>
      <w:pPr>
        <w:spacing w:after="0"/>
        <w:ind w:left="0"/>
        <w:jc w:val="both"/>
      </w:pPr>
      <w:r>
        <w:rPr>
          <w:rFonts w:ascii="Times New Roman"/>
          <w:b w:val="false"/>
          <w:i w:val="false"/>
          <w:color w:val="000000"/>
          <w:sz w:val="28"/>
        </w:rPr>
        <w:t>
      5) специализированная система – программное обеспечение и (или) специальный интернет-ресурс, располагающий базой инвестиционных и (или) аналитических данных, необходимой для анализа деятельности внешних управляющих;</w:t>
      </w:r>
    </w:p>
    <w:bookmarkEnd w:id="20"/>
    <w:bookmarkStart w:name="z27" w:id="21"/>
    <w:p>
      <w:pPr>
        <w:spacing w:after="0"/>
        <w:ind w:left="0"/>
        <w:jc w:val="both"/>
      </w:pPr>
      <w:r>
        <w:rPr>
          <w:rFonts w:ascii="Times New Roman"/>
          <w:b w:val="false"/>
          <w:i w:val="false"/>
          <w:color w:val="000000"/>
          <w:sz w:val="28"/>
        </w:rPr>
        <w:t xml:space="preserve">
      6) специализированный мандат – мандат, передаваемый во внешнее управление с целью диверсификации активов путем применения стратегий инвестирования, предполагающих уникальные инвестиционные подходы на уровне отдельных классов активов, видов управления, стран и регионов; </w:t>
      </w:r>
    </w:p>
    <w:bookmarkEnd w:id="21"/>
    <w:bookmarkStart w:name="z28" w:id="22"/>
    <w:p>
      <w:pPr>
        <w:spacing w:after="0"/>
        <w:ind w:left="0"/>
        <w:jc w:val="both"/>
      </w:pPr>
      <w:r>
        <w:rPr>
          <w:rFonts w:ascii="Times New Roman"/>
          <w:b w:val="false"/>
          <w:i w:val="false"/>
          <w:color w:val="000000"/>
          <w:sz w:val="28"/>
        </w:rPr>
        <w:t>
      7) диверсификация – размещение активов в финансовые инструменты и иное имущество с целью снижения риска, присущего для конкретного класса активов;</w:t>
      </w:r>
    </w:p>
    <w:bookmarkEnd w:id="22"/>
    <w:bookmarkStart w:name="z29" w:id="23"/>
    <w:p>
      <w:pPr>
        <w:spacing w:after="0"/>
        <w:ind w:left="0"/>
        <w:jc w:val="both"/>
      </w:pPr>
      <w:r>
        <w:rPr>
          <w:rFonts w:ascii="Times New Roman"/>
          <w:b w:val="false"/>
          <w:i w:val="false"/>
          <w:color w:val="000000"/>
          <w:sz w:val="28"/>
        </w:rPr>
        <w:t>
      8) альтернативные инструменты – классы активов, предназначенные для повышения доходности в долгосрочной перспективе (акции развивающихся рынков (Emerging Market equities), высокодоходные облигации (High Yield Bonds), продукты абсолютной доходности (Absolute Return), хедж-фонды (Hedge Funds), фонды хедж-фондов (Fund of Hedge Funds) и фонды фондов (Fund of Funds), частный капитал (Private Equity), частный долг (Private Credit), ценные бумаги с повышенным риском (Distressed Securities), инвестиции в недвижимость (Real Estate), инфраструктурные инвестиции (Infrastructure), прямые инвестиции (Strategic investments and co-investments);</w:t>
      </w:r>
    </w:p>
    <w:bookmarkEnd w:id="23"/>
    <w:bookmarkStart w:name="z30" w:id="24"/>
    <w:p>
      <w:pPr>
        <w:spacing w:after="0"/>
        <w:ind w:left="0"/>
        <w:jc w:val="both"/>
      </w:pPr>
      <w:r>
        <w:rPr>
          <w:rFonts w:ascii="Times New Roman"/>
          <w:b w:val="false"/>
          <w:i w:val="false"/>
          <w:color w:val="000000"/>
          <w:sz w:val="28"/>
        </w:rPr>
        <w:t>
      9) биржевой рынок – совокупность отношений с использованием торговых систем организатора торгов, который осуществляет организационное и техническое обеспечение торгов;</w:t>
      </w:r>
    </w:p>
    <w:bookmarkEnd w:id="24"/>
    <w:bookmarkStart w:name="z31" w:id="25"/>
    <w:p>
      <w:pPr>
        <w:spacing w:after="0"/>
        <w:ind w:left="0"/>
        <w:jc w:val="both"/>
      </w:pPr>
      <w:r>
        <w:rPr>
          <w:rFonts w:ascii="Times New Roman"/>
          <w:b w:val="false"/>
          <w:i w:val="false"/>
          <w:color w:val="000000"/>
          <w:sz w:val="28"/>
        </w:rPr>
        <w:t>
      10) глобальный мандат – портфель, инвестиции которого выходят за пределы одной страны (рынка, региона);</w:t>
      </w:r>
    </w:p>
    <w:bookmarkEnd w:id="25"/>
    <w:bookmarkStart w:name="z32" w:id="26"/>
    <w:p>
      <w:pPr>
        <w:spacing w:after="0"/>
        <w:ind w:left="0"/>
        <w:jc w:val="both"/>
      </w:pPr>
      <w:r>
        <w:rPr>
          <w:rFonts w:ascii="Times New Roman"/>
          <w:b w:val="false"/>
          <w:i w:val="false"/>
          <w:color w:val="000000"/>
          <w:sz w:val="28"/>
        </w:rPr>
        <w:t xml:space="preserve">
      11) инвестиционный дью-дилидженс – комплекс аналитических мероприятий, направленных на всестороннюю проверку и оценку эффективности инвестиционной деятельности внешнего управляющего; </w:t>
      </w:r>
    </w:p>
    <w:bookmarkEnd w:id="26"/>
    <w:bookmarkStart w:name="z33" w:id="27"/>
    <w:p>
      <w:pPr>
        <w:spacing w:after="0"/>
        <w:ind w:left="0"/>
        <w:jc w:val="both"/>
      </w:pPr>
      <w:r>
        <w:rPr>
          <w:rFonts w:ascii="Times New Roman"/>
          <w:b w:val="false"/>
          <w:i w:val="false"/>
          <w:color w:val="000000"/>
          <w:sz w:val="28"/>
        </w:rPr>
        <w:t>
      12) институциональный инвестор – юридическое лицо, осуществляющее инвестирование денег в финансовые инструменты;</w:t>
      </w:r>
    </w:p>
    <w:bookmarkEnd w:id="27"/>
    <w:bookmarkStart w:name="z34" w:id="28"/>
    <w:p>
      <w:pPr>
        <w:spacing w:after="0"/>
        <w:ind w:left="0"/>
        <w:jc w:val="both"/>
      </w:pPr>
      <w:r>
        <w:rPr>
          <w:rFonts w:ascii="Times New Roman"/>
          <w:b w:val="false"/>
          <w:i w:val="false"/>
          <w:color w:val="000000"/>
          <w:sz w:val="28"/>
        </w:rPr>
        <w:t>
      13) активы на консультационном обслуживании – активы, находящиеся в управлении у внешнего управляющего, по которым внешний управляющий консультирует клиента в части инвестиционного управления активами;</w:t>
      </w:r>
    </w:p>
    <w:bookmarkEnd w:id="28"/>
    <w:bookmarkStart w:name="z35" w:id="29"/>
    <w:p>
      <w:pPr>
        <w:spacing w:after="0"/>
        <w:ind w:left="0"/>
        <w:jc w:val="both"/>
      </w:pPr>
      <w:r>
        <w:rPr>
          <w:rFonts w:ascii="Times New Roman"/>
          <w:b w:val="false"/>
          <w:i w:val="false"/>
          <w:color w:val="000000"/>
          <w:sz w:val="28"/>
        </w:rPr>
        <w:t xml:space="preserve">
      14) изменчивость отклонения доходности (tracking error) – основной показатель рыночного риска портфеля по отношению к эталонному портфелю, отражающий изменчивость отклонения доходности портфеля от доходности эталонного портфеля; </w:t>
      </w:r>
    </w:p>
    <w:bookmarkEnd w:id="29"/>
    <w:bookmarkStart w:name="z36" w:id="30"/>
    <w:p>
      <w:pPr>
        <w:spacing w:after="0"/>
        <w:ind w:left="0"/>
        <w:jc w:val="both"/>
      </w:pPr>
      <w:r>
        <w:rPr>
          <w:rFonts w:ascii="Times New Roman"/>
          <w:b w:val="false"/>
          <w:i w:val="false"/>
          <w:color w:val="000000"/>
          <w:sz w:val="28"/>
        </w:rPr>
        <w:t>
      15) мандат – портфель с определенными инвестиционными характеристиками;</w:t>
      </w:r>
    </w:p>
    <w:bookmarkEnd w:id="30"/>
    <w:bookmarkStart w:name="z37" w:id="31"/>
    <w:p>
      <w:pPr>
        <w:spacing w:after="0"/>
        <w:ind w:left="0"/>
        <w:jc w:val="both"/>
      </w:pPr>
      <w:r>
        <w:rPr>
          <w:rFonts w:ascii="Times New Roman"/>
          <w:b w:val="false"/>
          <w:i w:val="false"/>
          <w:color w:val="000000"/>
          <w:sz w:val="28"/>
        </w:rPr>
        <w:t>
      16) маржевой счет – счет для проведения операций с производными финансовыми инструментами, открываемый в клиринговой организации и используемый в целях размещения обеспечения по сделкам и проведения расчетов по операциям с производными финансовыми инструментами;</w:t>
      </w:r>
    </w:p>
    <w:bookmarkEnd w:id="31"/>
    <w:bookmarkStart w:name="z38" w:id="32"/>
    <w:p>
      <w:pPr>
        <w:spacing w:after="0"/>
        <w:ind w:left="0"/>
        <w:jc w:val="both"/>
      </w:pPr>
      <w:r>
        <w:rPr>
          <w:rFonts w:ascii="Times New Roman"/>
          <w:b w:val="false"/>
          <w:i w:val="false"/>
          <w:color w:val="000000"/>
          <w:sz w:val="28"/>
        </w:rPr>
        <w:t>
      17) операционный дью-дилидженс – комплекс аналитических мероприятий, направленных на всестороннюю проверку и оценку эффективности операционного процесса внешнего управляющего;</w:t>
      </w:r>
    </w:p>
    <w:bookmarkEnd w:id="32"/>
    <w:bookmarkStart w:name="z39" w:id="33"/>
    <w:p>
      <w:pPr>
        <w:spacing w:after="0"/>
        <w:ind w:left="0"/>
        <w:jc w:val="both"/>
      </w:pPr>
      <w:r>
        <w:rPr>
          <w:rFonts w:ascii="Times New Roman"/>
          <w:b w:val="false"/>
          <w:i w:val="false"/>
          <w:color w:val="000000"/>
          <w:sz w:val="28"/>
        </w:rPr>
        <w:t>
      18) региональный мандат – портфель, инвестиции которого сосредоточены в пределах одной страны (рынка, региона);</w:t>
      </w:r>
    </w:p>
    <w:bookmarkEnd w:id="33"/>
    <w:bookmarkStart w:name="z40" w:id="34"/>
    <w:p>
      <w:pPr>
        <w:spacing w:after="0"/>
        <w:ind w:left="0"/>
        <w:jc w:val="both"/>
      </w:pPr>
      <w:r>
        <w:rPr>
          <w:rFonts w:ascii="Times New Roman"/>
          <w:b w:val="false"/>
          <w:i w:val="false"/>
          <w:color w:val="000000"/>
          <w:sz w:val="28"/>
        </w:rPr>
        <w:t>
      19) портфель – набор финансовых инструментов, в том числе деньги;</w:t>
      </w:r>
    </w:p>
    <w:bookmarkEnd w:id="34"/>
    <w:bookmarkStart w:name="z41" w:id="35"/>
    <w:p>
      <w:pPr>
        <w:spacing w:after="0"/>
        <w:ind w:left="0"/>
        <w:jc w:val="both"/>
      </w:pPr>
      <w:r>
        <w:rPr>
          <w:rFonts w:ascii="Times New Roman"/>
          <w:b w:val="false"/>
          <w:i w:val="false"/>
          <w:color w:val="000000"/>
          <w:sz w:val="28"/>
        </w:rPr>
        <w:t>
      20) портфельный менеджер – лицо, отвечающее за управление активами клиентов;</w:t>
      </w:r>
    </w:p>
    <w:bookmarkEnd w:id="35"/>
    <w:bookmarkStart w:name="z42" w:id="36"/>
    <w:p>
      <w:pPr>
        <w:spacing w:after="0"/>
        <w:ind w:left="0"/>
        <w:jc w:val="both"/>
      </w:pPr>
      <w:r>
        <w:rPr>
          <w:rFonts w:ascii="Times New Roman"/>
          <w:b w:val="false"/>
          <w:i w:val="false"/>
          <w:color w:val="000000"/>
          <w:sz w:val="28"/>
        </w:rPr>
        <w:t>
      21) внешнее управление – тип управления активами, при котором часть золотовалютных активов Национального Банка (далее – часть золотовалютных активов) передаются в инвестиционное управление внешним управляющим;</w:t>
      </w:r>
    </w:p>
    <w:bookmarkEnd w:id="36"/>
    <w:bookmarkStart w:name="z43" w:id="37"/>
    <w:p>
      <w:pPr>
        <w:spacing w:after="0"/>
        <w:ind w:left="0"/>
        <w:jc w:val="both"/>
      </w:pPr>
      <w:r>
        <w:rPr>
          <w:rFonts w:ascii="Times New Roman"/>
          <w:b w:val="false"/>
          <w:i w:val="false"/>
          <w:color w:val="000000"/>
          <w:sz w:val="28"/>
        </w:rPr>
        <w:t>
      22) внешний управляющий – созданный в соответствии с законодательством иностранного государства банк или организация, специализирующийся на инвестиционном управлении активами клиентов и осуществляющий свою деятельность на международных финансовых рынках;</w:t>
      </w:r>
    </w:p>
    <w:bookmarkEnd w:id="37"/>
    <w:bookmarkStart w:name="z44" w:id="38"/>
    <w:p>
      <w:pPr>
        <w:spacing w:after="0"/>
        <w:ind w:left="0"/>
        <w:jc w:val="both"/>
      </w:pPr>
      <w:r>
        <w:rPr>
          <w:rFonts w:ascii="Times New Roman"/>
          <w:b w:val="false"/>
          <w:i w:val="false"/>
          <w:color w:val="000000"/>
          <w:sz w:val="28"/>
        </w:rPr>
        <w:t>
      23) внешнее транзитное управление – тип управления активами, при котором активы передаются внешнему транзитному управляющему с целью минимизации рисков в связи с изменениями в структуре передаваемых активов до выбора и (или) передачи активов назначенному внешнему управляющему по соответствующему мандату;</w:t>
      </w:r>
    </w:p>
    <w:bookmarkEnd w:id="38"/>
    <w:bookmarkStart w:name="z45" w:id="39"/>
    <w:p>
      <w:pPr>
        <w:spacing w:after="0"/>
        <w:ind w:left="0"/>
        <w:jc w:val="both"/>
      </w:pPr>
      <w:r>
        <w:rPr>
          <w:rFonts w:ascii="Times New Roman"/>
          <w:b w:val="false"/>
          <w:i w:val="false"/>
          <w:color w:val="000000"/>
          <w:sz w:val="28"/>
        </w:rPr>
        <w:t>
      24) внешний транзитный управляющий – созданный в соответствии с законодательством иностранного государства банк или организация, специализирующийся на внешнем транзитном управлении активов клиентов и осуществляющий свою деятельность на международных финансовых рынках;</w:t>
      </w:r>
    </w:p>
    <w:bookmarkEnd w:id="39"/>
    <w:bookmarkStart w:name="z46" w:id="40"/>
    <w:p>
      <w:pPr>
        <w:spacing w:after="0"/>
        <w:ind w:left="0"/>
        <w:jc w:val="both"/>
      </w:pPr>
      <w:r>
        <w:rPr>
          <w:rFonts w:ascii="Times New Roman"/>
          <w:b w:val="false"/>
          <w:i w:val="false"/>
          <w:color w:val="000000"/>
          <w:sz w:val="28"/>
        </w:rPr>
        <w:t>
      25) уполномоченное подразделение – подразделение Национального Банка, осуществляющее управление и мониторинг золотовалютными активами Национального Банка (далее - золотовалютные активы);</w:t>
      </w:r>
    </w:p>
    <w:bookmarkEnd w:id="40"/>
    <w:bookmarkStart w:name="z47" w:id="41"/>
    <w:p>
      <w:pPr>
        <w:spacing w:after="0"/>
        <w:ind w:left="0"/>
        <w:jc w:val="both"/>
      </w:pPr>
      <w:r>
        <w:rPr>
          <w:rFonts w:ascii="Times New Roman"/>
          <w:b w:val="false"/>
          <w:i w:val="false"/>
          <w:color w:val="000000"/>
          <w:sz w:val="28"/>
        </w:rPr>
        <w:t>
      26) руководство Национального Банка – Председатель Национального Банка, заместитель Председателя Национального Банка, курирующий уполномоченное подразделение;</w:t>
      </w:r>
    </w:p>
    <w:bookmarkEnd w:id="41"/>
    <w:bookmarkStart w:name="z48" w:id="42"/>
    <w:p>
      <w:pPr>
        <w:spacing w:after="0"/>
        <w:ind w:left="0"/>
        <w:jc w:val="both"/>
      </w:pPr>
      <w:r>
        <w:rPr>
          <w:rFonts w:ascii="Times New Roman"/>
          <w:b w:val="false"/>
          <w:i w:val="false"/>
          <w:color w:val="000000"/>
          <w:sz w:val="28"/>
        </w:rPr>
        <w:t>
      27) уровень сверхдоходности – разница между фактически достигнутым уровнем доходности и уровнем доходности эталонного портфеля;</w:t>
      </w:r>
    </w:p>
    <w:bookmarkEnd w:id="42"/>
    <w:bookmarkStart w:name="z49" w:id="43"/>
    <w:p>
      <w:pPr>
        <w:spacing w:after="0"/>
        <w:ind w:left="0"/>
        <w:jc w:val="both"/>
      </w:pPr>
      <w:r>
        <w:rPr>
          <w:rFonts w:ascii="Times New Roman"/>
          <w:b w:val="false"/>
          <w:i w:val="false"/>
          <w:color w:val="000000"/>
          <w:sz w:val="28"/>
        </w:rPr>
        <w:t>
      28) форексные операции – покупка и (или) продажа иностранной валюты на биржевом и внебиржевом рынках;</w:t>
      </w:r>
    </w:p>
    <w:bookmarkEnd w:id="43"/>
    <w:bookmarkStart w:name="z50" w:id="44"/>
    <w:p>
      <w:pPr>
        <w:spacing w:after="0"/>
        <w:ind w:left="0"/>
        <w:jc w:val="both"/>
      </w:pPr>
      <w:r>
        <w:rPr>
          <w:rFonts w:ascii="Times New Roman"/>
          <w:b w:val="false"/>
          <w:i w:val="false"/>
          <w:color w:val="000000"/>
          <w:sz w:val="28"/>
        </w:rPr>
        <w:t>
      29) эталонный портфель – набор инструментов, отражающий стратегические интересы инвестора. Доходность эталонного портфеля служит мерой при оценке доходности управления активами. В качестве эталонного портфеля используются индексы, разработанные и отслеживаемые ведущими мировыми финансовыми компаниями либо Национальным Банком.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23.09.2024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3. Передача части золотовалютных активов включает процедуры выбора внешнего управляющего или внешнего транзитного управляющего и перевода денег и (или) ценных бумаг на счета Национального Банка у банка (банков) -кастодиана (кастодианов), предназначенные для внешнего управления или внешнего транзитного управления.</w:t>
      </w:r>
    </w:p>
    <w:bookmarkEnd w:id="45"/>
    <w:bookmarkStart w:name="z52" w:id="46"/>
    <w:p>
      <w:pPr>
        <w:spacing w:after="0"/>
        <w:ind w:left="0"/>
        <w:jc w:val="both"/>
      </w:pPr>
      <w:r>
        <w:rPr>
          <w:rFonts w:ascii="Times New Roman"/>
          <w:b w:val="false"/>
          <w:i w:val="false"/>
          <w:color w:val="000000"/>
          <w:sz w:val="28"/>
        </w:rPr>
        <w:t>
      Правила не определяют порядок передачи во внешнее управление активов портфеля альтернативных инструментов, а также активов портфеля развивающихся рынков золотовалютных активов в рамках программ международных финансовых организаций.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23.09.2024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xml:space="preserve">
      4. Общий допустимый лимит золотовалютных активов, передаваемых во внешнее управление, не превышает 30 (тридцать) процентов от общего объема золотовалютных активов. </w:t>
      </w:r>
    </w:p>
    <w:bookmarkEnd w:id="47"/>
    <w:bookmarkStart w:name="z54" w:id="48"/>
    <w:p>
      <w:pPr>
        <w:spacing w:after="0"/>
        <w:ind w:left="0"/>
        <w:jc w:val="both"/>
      </w:pPr>
      <w:r>
        <w:rPr>
          <w:rFonts w:ascii="Times New Roman"/>
          <w:b w:val="false"/>
          <w:i w:val="false"/>
          <w:color w:val="000000"/>
          <w:sz w:val="28"/>
        </w:rPr>
        <w:t xml:space="preserve">
      Общий допустимый лимит золотовалютных активов, передаваемых во внешнее управление одному внешнему управляющему, составляет не более 5 (пять) процентов от общего объема золотовалютных активов. </w:t>
      </w:r>
    </w:p>
    <w:bookmarkEnd w:id="48"/>
    <w:bookmarkStart w:name="z55" w:id="49"/>
    <w:p>
      <w:pPr>
        <w:spacing w:after="0"/>
        <w:ind w:left="0"/>
        <w:jc w:val="both"/>
      </w:pPr>
      <w:r>
        <w:rPr>
          <w:rFonts w:ascii="Times New Roman"/>
          <w:b w:val="false"/>
          <w:i w:val="false"/>
          <w:color w:val="000000"/>
          <w:sz w:val="28"/>
        </w:rPr>
        <w:t>
      5. При превышении лимита, предусмотренного пунктом 4 Правил, в том числе в случае слияния двух действующих внешних управляющих, уполномоченное подразделение устраняет несоответствие в течение 3 (трех) месяцев со дня возникновения такого превышения.</w:t>
      </w:r>
    </w:p>
    <w:bookmarkEnd w:id="49"/>
    <w:bookmarkStart w:name="z56" w:id="50"/>
    <w:p>
      <w:pPr>
        <w:spacing w:after="0"/>
        <w:ind w:left="0"/>
        <w:jc w:val="both"/>
      </w:pPr>
      <w:r>
        <w:rPr>
          <w:rFonts w:ascii="Times New Roman"/>
          <w:b w:val="false"/>
          <w:i w:val="false"/>
          <w:color w:val="000000"/>
          <w:sz w:val="28"/>
        </w:rPr>
        <w:t>
      6. Часть золотовалютных активов передается во внешнее управление в целях:</w:t>
      </w:r>
    </w:p>
    <w:bookmarkEnd w:id="50"/>
    <w:bookmarkStart w:name="z57" w:id="51"/>
    <w:p>
      <w:pPr>
        <w:spacing w:after="0"/>
        <w:ind w:left="0"/>
        <w:jc w:val="both"/>
      </w:pPr>
      <w:r>
        <w:rPr>
          <w:rFonts w:ascii="Times New Roman"/>
          <w:b w:val="false"/>
          <w:i w:val="false"/>
          <w:color w:val="000000"/>
          <w:sz w:val="28"/>
        </w:rPr>
        <w:t>
      1) снижения уровня рисков, связанных с видами управления;</w:t>
      </w:r>
    </w:p>
    <w:bookmarkEnd w:id="51"/>
    <w:bookmarkStart w:name="z58" w:id="52"/>
    <w:p>
      <w:pPr>
        <w:spacing w:after="0"/>
        <w:ind w:left="0"/>
        <w:jc w:val="both"/>
      </w:pPr>
      <w:r>
        <w:rPr>
          <w:rFonts w:ascii="Times New Roman"/>
          <w:b w:val="false"/>
          <w:i w:val="false"/>
          <w:color w:val="000000"/>
          <w:sz w:val="28"/>
        </w:rPr>
        <w:t>
      2) увеличения доходности управления золотовалютными активами за счет использования опыта, аналитических материалов, исследований и технических ресурсов внешнего управляющего;</w:t>
      </w:r>
    </w:p>
    <w:bookmarkEnd w:id="52"/>
    <w:bookmarkStart w:name="z59" w:id="53"/>
    <w:p>
      <w:pPr>
        <w:spacing w:after="0"/>
        <w:ind w:left="0"/>
        <w:jc w:val="both"/>
      </w:pPr>
      <w:r>
        <w:rPr>
          <w:rFonts w:ascii="Times New Roman"/>
          <w:b w:val="false"/>
          <w:i w:val="false"/>
          <w:color w:val="000000"/>
          <w:sz w:val="28"/>
        </w:rPr>
        <w:t>
      3) повышения эффективности управления золотовалютными активами за счет применения экспертизы и консультаций в области управления активами, полученных от внешних управляющих;</w:t>
      </w:r>
    </w:p>
    <w:bookmarkEnd w:id="53"/>
    <w:bookmarkStart w:name="z60" w:id="54"/>
    <w:p>
      <w:pPr>
        <w:spacing w:after="0"/>
        <w:ind w:left="0"/>
        <w:jc w:val="both"/>
      </w:pPr>
      <w:r>
        <w:rPr>
          <w:rFonts w:ascii="Times New Roman"/>
          <w:b w:val="false"/>
          <w:i w:val="false"/>
          <w:color w:val="000000"/>
          <w:sz w:val="28"/>
        </w:rPr>
        <w:t xml:space="preserve">
      4) внедрения новых классов активов, по которым отсутствует опыт в самостоятельном управлении активами. </w:t>
      </w:r>
    </w:p>
    <w:bookmarkEnd w:id="54"/>
    <w:bookmarkStart w:name="z61" w:id="55"/>
    <w:p>
      <w:pPr>
        <w:spacing w:after="0"/>
        <w:ind w:left="0"/>
        <w:jc w:val="both"/>
      </w:pPr>
      <w:r>
        <w:rPr>
          <w:rFonts w:ascii="Times New Roman"/>
          <w:b w:val="false"/>
          <w:i w:val="false"/>
          <w:color w:val="000000"/>
          <w:sz w:val="28"/>
        </w:rPr>
        <w:t xml:space="preserve">
      7. Выбор вида управления (активного, усовершенствованного индексного или пассивного (индексного)) и эталонного портфеля для внешнего управляющего осуществляется в соответствии с целями управления частью золотовалютными активами и ограничениями, предусмотренными Инвестиционной стратегией по управлению золотовалютными активами, в зависимости от ситуации на рынке. </w:t>
      </w:r>
    </w:p>
    <w:bookmarkEnd w:id="55"/>
    <w:bookmarkStart w:name="z62" w:id="56"/>
    <w:p>
      <w:pPr>
        <w:spacing w:after="0"/>
        <w:ind w:left="0"/>
        <w:jc w:val="both"/>
      </w:pPr>
      <w:r>
        <w:rPr>
          <w:rFonts w:ascii="Times New Roman"/>
          <w:b w:val="false"/>
          <w:i w:val="false"/>
          <w:color w:val="000000"/>
          <w:sz w:val="28"/>
        </w:rPr>
        <w:t>
      8. Внешнему управляющему или внешнему транзитному управляющему выплачивается фиксированное комиссионное вознаграждение и (или) комиссионное вознаграждение, зависящее от результатов управления, в соответствии с соглашением о передаче части золотовалютных активов во внешнее управление или соглашением о передаче части золотовалютных активов во внешнее транзитное управление.</w:t>
      </w:r>
    </w:p>
    <w:bookmarkEnd w:id="56"/>
    <w:bookmarkStart w:name="z63" w:id="57"/>
    <w:p>
      <w:pPr>
        <w:spacing w:after="0"/>
        <w:ind w:left="0"/>
        <w:jc w:val="left"/>
      </w:pPr>
      <w:r>
        <w:rPr>
          <w:rFonts w:ascii="Times New Roman"/>
          <w:b/>
          <w:i w:val="false"/>
          <w:color w:val="000000"/>
        </w:rPr>
        <w:t xml:space="preserve"> Глава 2. Порядок передачи части золотовалютных активов во внешнее управление</w:t>
      </w:r>
    </w:p>
    <w:bookmarkEnd w:id="57"/>
    <w:bookmarkStart w:name="z64" w:id="58"/>
    <w:p>
      <w:pPr>
        <w:spacing w:after="0"/>
        <w:ind w:left="0"/>
        <w:jc w:val="both"/>
      </w:pPr>
      <w:r>
        <w:rPr>
          <w:rFonts w:ascii="Times New Roman"/>
          <w:b w:val="false"/>
          <w:i w:val="false"/>
          <w:color w:val="000000"/>
          <w:sz w:val="28"/>
        </w:rPr>
        <w:t xml:space="preserve">
      9. Организация процедуры выбора внешних управляющих проводится уполномоченным подразделением. </w:t>
      </w:r>
    </w:p>
    <w:bookmarkEnd w:id="58"/>
    <w:bookmarkStart w:name="z65" w:id="59"/>
    <w:p>
      <w:pPr>
        <w:spacing w:after="0"/>
        <w:ind w:left="0"/>
        <w:jc w:val="both"/>
      </w:pPr>
      <w:r>
        <w:rPr>
          <w:rFonts w:ascii="Times New Roman"/>
          <w:b w:val="false"/>
          <w:i w:val="false"/>
          <w:color w:val="000000"/>
          <w:sz w:val="28"/>
        </w:rPr>
        <w:t xml:space="preserve">
      10. Уполномоченное подразделение публикует на официальном интернет-ресурсе Национального Банка, а также на иных информационно-аналитических ресурсах, доступных для потенциальных внешних управляющих, информацию о планируемом выборе внешнего управляющего, составляет список потенциальных внешних управляющих, рассылает информацию потенциальным внешним управляющим. </w:t>
      </w:r>
    </w:p>
    <w:bookmarkEnd w:id="59"/>
    <w:bookmarkStart w:name="z66" w:id="60"/>
    <w:p>
      <w:pPr>
        <w:spacing w:after="0"/>
        <w:ind w:left="0"/>
        <w:jc w:val="both"/>
      </w:pPr>
      <w:r>
        <w:rPr>
          <w:rFonts w:ascii="Times New Roman"/>
          <w:b w:val="false"/>
          <w:i w:val="false"/>
          <w:color w:val="000000"/>
          <w:sz w:val="28"/>
        </w:rPr>
        <w:t xml:space="preserve">
      Обязательным условием рассмотрения предложения потенциального внешнего управляющего является его согласие на включение условий,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Правил, в соглашение о передаче части золотовалютных активов во внешнее управление.</w:t>
      </w:r>
    </w:p>
    <w:bookmarkEnd w:id="60"/>
    <w:bookmarkStart w:name="z67" w:id="61"/>
    <w:p>
      <w:pPr>
        <w:spacing w:after="0"/>
        <w:ind w:left="0"/>
        <w:jc w:val="both"/>
      </w:pPr>
      <w:r>
        <w:rPr>
          <w:rFonts w:ascii="Times New Roman"/>
          <w:b w:val="false"/>
          <w:i w:val="false"/>
          <w:color w:val="000000"/>
          <w:sz w:val="28"/>
        </w:rPr>
        <w:t xml:space="preserve">
      11. Потенциальный внешний управляющий представляет в Национальный Банк в электронном виде и (или) на бумажном носителе минимальную информацию, запрашиваемую у потенциального внешнего управляющего,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Допускается получение информации уполномоченным подразделением из специализированной системы. </w:t>
      </w:r>
    </w:p>
    <w:bookmarkEnd w:id="61"/>
    <w:bookmarkStart w:name="z68" w:id="62"/>
    <w:p>
      <w:pPr>
        <w:spacing w:after="0"/>
        <w:ind w:left="0"/>
        <w:jc w:val="both"/>
      </w:pPr>
      <w:r>
        <w:rPr>
          <w:rFonts w:ascii="Times New Roman"/>
          <w:b w:val="false"/>
          <w:i w:val="false"/>
          <w:color w:val="000000"/>
          <w:sz w:val="28"/>
        </w:rPr>
        <w:t xml:space="preserve">
      12. Уполномоченное подразделение осуществляет сравнительный анализ всех поступивших предложений потенциальных внешних управляющих, с учетом обязательных критериев, предусмотренных </w:t>
      </w:r>
      <w:r>
        <w:rPr>
          <w:rFonts w:ascii="Times New Roman"/>
          <w:b w:val="false"/>
          <w:i w:val="false"/>
          <w:color w:val="000000"/>
          <w:sz w:val="28"/>
        </w:rPr>
        <w:t>пунктами 13</w:t>
      </w:r>
      <w:r>
        <w:rPr>
          <w:rFonts w:ascii="Times New Roman"/>
          <w:b w:val="false"/>
          <w:i w:val="false"/>
          <w:color w:val="000000"/>
          <w:sz w:val="28"/>
        </w:rPr>
        <w:t xml:space="preserve"> и (или) </w:t>
      </w:r>
      <w:r>
        <w:rPr>
          <w:rFonts w:ascii="Times New Roman"/>
          <w:b w:val="false"/>
          <w:i w:val="false"/>
          <w:color w:val="000000"/>
          <w:sz w:val="28"/>
        </w:rPr>
        <w:t>14</w:t>
      </w:r>
      <w:r>
        <w:rPr>
          <w:rFonts w:ascii="Times New Roman"/>
          <w:b w:val="false"/>
          <w:i w:val="false"/>
          <w:color w:val="000000"/>
          <w:sz w:val="28"/>
        </w:rPr>
        <w:t xml:space="preserve"> Правил.</w:t>
      </w:r>
    </w:p>
    <w:bookmarkEnd w:id="62"/>
    <w:bookmarkStart w:name="z69" w:id="63"/>
    <w:p>
      <w:pPr>
        <w:spacing w:after="0"/>
        <w:ind w:left="0"/>
        <w:jc w:val="both"/>
      </w:pPr>
      <w:r>
        <w:rPr>
          <w:rFonts w:ascii="Times New Roman"/>
          <w:b w:val="false"/>
          <w:i w:val="false"/>
          <w:color w:val="000000"/>
          <w:sz w:val="28"/>
        </w:rPr>
        <w:t xml:space="preserve">
      Если потенциальный внешний управляющий соответствует обязательным критериям, предусмотренным в пунктах 13 и (или) 14 Правил, уполномоченное подразделение осуществляет сравнительный анализ предложений потенциальных внешних управляющих в соответствии с оценочными критериями для осуществления сравнительного анализа предложений потенциальных внешних управляющих (далее – Оценочные критерии)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для формирования длинного списка потенциальных внешних управляющих (далее – длинный список). </w:t>
      </w:r>
    </w:p>
    <w:bookmarkEnd w:id="63"/>
    <w:bookmarkStart w:name="z70" w:id="64"/>
    <w:p>
      <w:pPr>
        <w:spacing w:after="0"/>
        <w:ind w:left="0"/>
        <w:jc w:val="both"/>
      </w:pPr>
      <w:r>
        <w:rPr>
          <w:rFonts w:ascii="Times New Roman"/>
          <w:b w:val="false"/>
          <w:i w:val="false"/>
          <w:color w:val="000000"/>
          <w:sz w:val="28"/>
        </w:rPr>
        <w:t>
      При осуществлении сравнительного анализа предложений потенциальных внешних управляющих допускается использование собственных данных Национального Банка по действующим внешним управляющим золотовалютными активами и активами, находящимися в доверительном управлении Национального Банка.</w:t>
      </w:r>
    </w:p>
    <w:bookmarkEnd w:id="64"/>
    <w:bookmarkStart w:name="z71" w:id="65"/>
    <w:p>
      <w:pPr>
        <w:spacing w:after="0"/>
        <w:ind w:left="0"/>
        <w:jc w:val="both"/>
      </w:pPr>
      <w:r>
        <w:rPr>
          <w:rFonts w:ascii="Times New Roman"/>
          <w:b w:val="false"/>
          <w:i w:val="false"/>
          <w:color w:val="000000"/>
          <w:sz w:val="28"/>
        </w:rPr>
        <w:t xml:space="preserve">
      В целях уточнения информации, представленной потенциальным внешним управляющим, допускается направление уполномоченным подразделением дополнительных запросов такому потенциальному внешнему управляющему. В случае непредставления потенциальным внешним управляющим дополнительно запрашиваемой информации балл по соответствующему критерию в Оценочных критериях не учитывается. </w:t>
      </w:r>
    </w:p>
    <w:bookmarkEnd w:id="65"/>
    <w:bookmarkStart w:name="z72" w:id="66"/>
    <w:p>
      <w:pPr>
        <w:spacing w:after="0"/>
        <w:ind w:left="0"/>
        <w:jc w:val="both"/>
      </w:pPr>
      <w:r>
        <w:rPr>
          <w:rFonts w:ascii="Times New Roman"/>
          <w:b w:val="false"/>
          <w:i w:val="false"/>
          <w:color w:val="000000"/>
          <w:sz w:val="28"/>
        </w:rPr>
        <w:t>
      13. Для выбора внешних управляющих по глобальным мандатам обязательными критериями являются:</w:t>
      </w:r>
    </w:p>
    <w:bookmarkEnd w:id="66"/>
    <w:bookmarkStart w:name="z73" w:id="67"/>
    <w:p>
      <w:pPr>
        <w:spacing w:after="0"/>
        <w:ind w:left="0"/>
        <w:jc w:val="both"/>
      </w:pPr>
      <w:r>
        <w:rPr>
          <w:rFonts w:ascii="Times New Roman"/>
          <w:b w:val="false"/>
          <w:i w:val="false"/>
          <w:color w:val="000000"/>
          <w:sz w:val="28"/>
        </w:rPr>
        <w:t xml:space="preserve">
      1) опыт работы с финансовыми инструментами, в которые предполагается инвестировать часть золотовалютных активов – не менее 10 (десяти) лет, из которых не менее 5 (пяти) лет опыта работы по объявленному мандату, либо если потенциальный внешний управляющий имеет под управлением исключительно аналогичные региональные мандаты – не менее 5 (пяти) лет опыта работы по региональным мандатам, которые составляют не менее 75 (семьдесят пять) процентов охвата глобального мандата. </w:t>
      </w:r>
    </w:p>
    <w:bookmarkEnd w:id="67"/>
    <w:bookmarkStart w:name="z74" w:id="68"/>
    <w:p>
      <w:pPr>
        <w:spacing w:after="0"/>
        <w:ind w:left="0"/>
        <w:jc w:val="both"/>
      </w:pPr>
      <w:r>
        <w:rPr>
          <w:rFonts w:ascii="Times New Roman"/>
          <w:b w:val="false"/>
          <w:i w:val="false"/>
          <w:color w:val="000000"/>
          <w:sz w:val="28"/>
        </w:rPr>
        <w:t>
      Допускается исчисление опыта работы потенциального внешнего управляющего с учетом опыта работы юридических лиц, находящихся с потенциальным внешним управляющим под управленческим контролем одного лица;</w:t>
      </w:r>
    </w:p>
    <w:bookmarkEnd w:id="68"/>
    <w:bookmarkStart w:name="z75" w:id="69"/>
    <w:p>
      <w:pPr>
        <w:spacing w:after="0"/>
        <w:ind w:left="0"/>
        <w:jc w:val="both"/>
      </w:pPr>
      <w:r>
        <w:rPr>
          <w:rFonts w:ascii="Times New Roman"/>
          <w:b w:val="false"/>
          <w:i w:val="false"/>
          <w:color w:val="000000"/>
          <w:sz w:val="28"/>
        </w:rPr>
        <w:t>
      2) совокупный размер активов клиентов, имеющихся под управлением у потенциального внешнего управляющего, (в том числе активы на консультационном обслуживании) – не менее эквивалента 25 (двадцать пять) миллиардов долларов США;</w:t>
      </w:r>
    </w:p>
    <w:bookmarkEnd w:id="69"/>
    <w:bookmarkStart w:name="z76" w:id="70"/>
    <w:p>
      <w:pPr>
        <w:spacing w:after="0"/>
        <w:ind w:left="0"/>
        <w:jc w:val="both"/>
      </w:pPr>
      <w:r>
        <w:rPr>
          <w:rFonts w:ascii="Times New Roman"/>
          <w:b w:val="false"/>
          <w:i w:val="false"/>
          <w:color w:val="000000"/>
          <w:sz w:val="28"/>
        </w:rPr>
        <w:t>
      3) совокупный размер активов клиентов по рассматриваемому мандату, имеющихся под управлением у потенциального внешнего управляющего – не менее эквивалента 1 (один) миллиарда долларов США либо, если потенциальный внешний управляющий имеет под управлением исключительно аналогичные региональные мандаты – не менее эквивалента 1 (один) миллиарда долларов США по региональным мандатам, которые составляют не менее 75 (семьдесят пять) процентов охвата глобального мандата.</w:t>
      </w:r>
    </w:p>
    <w:bookmarkEnd w:id="70"/>
    <w:bookmarkStart w:name="z77" w:id="71"/>
    <w:p>
      <w:pPr>
        <w:spacing w:after="0"/>
        <w:ind w:left="0"/>
        <w:jc w:val="both"/>
      </w:pPr>
      <w:r>
        <w:rPr>
          <w:rFonts w:ascii="Times New Roman"/>
          <w:b w:val="false"/>
          <w:i w:val="false"/>
          <w:color w:val="000000"/>
          <w:sz w:val="28"/>
        </w:rPr>
        <w:t>
      14. Для выбора внешних управляющих по специализированным мандатам обязательными критериями являются:</w:t>
      </w:r>
    </w:p>
    <w:bookmarkEnd w:id="71"/>
    <w:bookmarkStart w:name="z78" w:id="72"/>
    <w:p>
      <w:pPr>
        <w:spacing w:after="0"/>
        <w:ind w:left="0"/>
        <w:jc w:val="both"/>
      </w:pPr>
      <w:r>
        <w:rPr>
          <w:rFonts w:ascii="Times New Roman"/>
          <w:b w:val="false"/>
          <w:i w:val="false"/>
          <w:color w:val="000000"/>
          <w:sz w:val="28"/>
        </w:rPr>
        <w:t xml:space="preserve">
      1) опыт работы потенциального внешнего управляющего с финансовыми инструментами, в которые предполагается инвестировать часть золотовалютных активов – не менее 5 (пяти) лет, из которых не менее 3 (трех) лет опыта работы по объявленному мандату, либо если потенциальный внешний управляющий имеет под управлением исключительно аналогичные региональные мандаты – не менее 3 (трех) лет опыта работы по региональным мандатам, которые составляют не менее 75 (семьдесят пять) процентов охвата глобального мандата. </w:t>
      </w:r>
    </w:p>
    <w:bookmarkEnd w:id="72"/>
    <w:bookmarkStart w:name="z79" w:id="73"/>
    <w:p>
      <w:pPr>
        <w:spacing w:after="0"/>
        <w:ind w:left="0"/>
        <w:jc w:val="both"/>
      </w:pPr>
      <w:r>
        <w:rPr>
          <w:rFonts w:ascii="Times New Roman"/>
          <w:b w:val="false"/>
          <w:i w:val="false"/>
          <w:color w:val="000000"/>
          <w:sz w:val="28"/>
        </w:rPr>
        <w:t>
      Допускается исчисление опыта работы потенциального внешнего управляющего с учетом опыта работы юридических лиц, находящихся с потенциальным внешним управляющим под управленческим контролем одного лица;</w:t>
      </w:r>
    </w:p>
    <w:bookmarkEnd w:id="73"/>
    <w:bookmarkStart w:name="z80" w:id="74"/>
    <w:p>
      <w:pPr>
        <w:spacing w:after="0"/>
        <w:ind w:left="0"/>
        <w:jc w:val="both"/>
      </w:pPr>
      <w:r>
        <w:rPr>
          <w:rFonts w:ascii="Times New Roman"/>
          <w:b w:val="false"/>
          <w:i w:val="false"/>
          <w:color w:val="000000"/>
          <w:sz w:val="28"/>
        </w:rPr>
        <w:t>
      2) совокупный размер активов клиентов, имеющихся под управлением у потенциального внешнего управляющего, (в том числе активы на консультационном обслуживании) – не менее эквивалента 1 (один) миллиарда долларов США;</w:t>
      </w:r>
    </w:p>
    <w:bookmarkEnd w:id="74"/>
    <w:bookmarkStart w:name="z81" w:id="75"/>
    <w:p>
      <w:pPr>
        <w:spacing w:after="0"/>
        <w:ind w:left="0"/>
        <w:jc w:val="both"/>
      </w:pPr>
      <w:r>
        <w:rPr>
          <w:rFonts w:ascii="Times New Roman"/>
          <w:b w:val="false"/>
          <w:i w:val="false"/>
          <w:color w:val="000000"/>
          <w:sz w:val="28"/>
        </w:rPr>
        <w:t xml:space="preserve">
      3) совокупный размер активов клиентов по рассматриваемому мандату, имеющихся под управлением у потенциального внешнего управляющего – не менее эквивалента 150 (сто пятьдесят) миллионов долларов США. </w:t>
      </w:r>
    </w:p>
    <w:bookmarkEnd w:id="75"/>
    <w:bookmarkStart w:name="z82" w:id="76"/>
    <w:p>
      <w:pPr>
        <w:spacing w:after="0"/>
        <w:ind w:left="0"/>
        <w:jc w:val="both"/>
      </w:pPr>
      <w:r>
        <w:rPr>
          <w:rFonts w:ascii="Times New Roman"/>
          <w:b w:val="false"/>
          <w:i w:val="false"/>
          <w:color w:val="000000"/>
          <w:sz w:val="28"/>
        </w:rPr>
        <w:t xml:space="preserve">
      При этом объем активов, передаваемых одному внешнему управляющему, не превышает 50 (пятьдесят) процентов от объема активов в инвестиционном управлении по рассматриваемому мандату, имеющихся под управлением такого внешнего управляющего. </w:t>
      </w:r>
    </w:p>
    <w:bookmarkEnd w:id="76"/>
    <w:bookmarkStart w:name="z83" w:id="77"/>
    <w:p>
      <w:pPr>
        <w:spacing w:after="0"/>
        <w:ind w:left="0"/>
        <w:jc w:val="both"/>
      </w:pPr>
      <w:r>
        <w:rPr>
          <w:rFonts w:ascii="Times New Roman"/>
          <w:b w:val="false"/>
          <w:i w:val="false"/>
          <w:color w:val="000000"/>
          <w:sz w:val="28"/>
        </w:rPr>
        <w:t xml:space="preserve">
      15. Допускается обращение уполномоченного подразделения к клиентам потенциального внешнего управляющего с запросом о результатах и качестве управления активами клиентов. </w:t>
      </w:r>
    </w:p>
    <w:bookmarkEnd w:id="77"/>
    <w:bookmarkStart w:name="z84" w:id="78"/>
    <w:p>
      <w:pPr>
        <w:spacing w:after="0"/>
        <w:ind w:left="0"/>
        <w:jc w:val="both"/>
      </w:pPr>
      <w:r>
        <w:rPr>
          <w:rFonts w:ascii="Times New Roman"/>
          <w:b w:val="false"/>
          <w:i w:val="false"/>
          <w:color w:val="000000"/>
          <w:sz w:val="28"/>
        </w:rPr>
        <w:t>
      16. Подготовленное уполномоченным подразделением заключение по длинному списку, содержащее сравнительный анализ предложений потенциальных внешних управляющих и рекомендации по их выбору, представляется на рассмотрение Председателю Национального Банка, который по результатам рассмотрения одобряет короткий список потенциальных внешних управляющих с наиболее выгодными предложениями (далее – короткий список) путем наложения резолюции к заключению уполномоченного подразделения.</w:t>
      </w:r>
    </w:p>
    <w:bookmarkEnd w:id="78"/>
    <w:bookmarkStart w:name="z85" w:id="79"/>
    <w:p>
      <w:pPr>
        <w:spacing w:after="0"/>
        <w:ind w:left="0"/>
        <w:jc w:val="both"/>
      </w:pPr>
      <w:r>
        <w:rPr>
          <w:rFonts w:ascii="Times New Roman"/>
          <w:b w:val="false"/>
          <w:i w:val="false"/>
          <w:color w:val="000000"/>
          <w:sz w:val="28"/>
        </w:rPr>
        <w:t>
      Уполномоченное подразделение проводит переговоры с потенциальными внешними управляющими из короткого списка для целей улучшения условий предложений внешних управляющих.</w:t>
      </w:r>
    </w:p>
    <w:bookmarkEnd w:id="79"/>
    <w:bookmarkStart w:name="z86" w:id="80"/>
    <w:p>
      <w:pPr>
        <w:spacing w:after="0"/>
        <w:ind w:left="0"/>
        <w:jc w:val="both"/>
      </w:pPr>
      <w:r>
        <w:rPr>
          <w:rFonts w:ascii="Times New Roman"/>
          <w:b w:val="false"/>
          <w:i w:val="false"/>
          <w:color w:val="000000"/>
          <w:sz w:val="28"/>
        </w:rPr>
        <w:t xml:space="preserve">
      17. Уполномоченное подразделение проводит дополнительную оценку предложений потенциальных внешних управляющих из короткого списка согласно оценочным критериям для осуществления сравнительного анализа предложений потенциальных внешних управляющих из короткого списка в рамках инвестиционного и операционного дью-дилидженса,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 При равенстве итоговой суммы баллов потенциальных внешних управляющих из короткого списка, предложение потенциального внешнего управляющего из короткого списка, выразившего согласие на локализацию своего офиса на территории Международного финансового центра "Астана", будет иметь преимущество.</w:t>
      </w:r>
    </w:p>
    <w:bookmarkEnd w:id="80"/>
    <w:bookmarkStart w:name="z87" w:id="81"/>
    <w:p>
      <w:pPr>
        <w:spacing w:after="0"/>
        <w:ind w:left="0"/>
        <w:jc w:val="both"/>
      </w:pPr>
      <w:r>
        <w:rPr>
          <w:rFonts w:ascii="Times New Roman"/>
          <w:b w:val="false"/>
          <w:i w:val="false"/>
          <w:color w:val="000000"/>
          <w:sz w:val="28"/>
        </w:rPr>
        <w:t>
      18. При проведении инвестиционного и операционного дью-дилидженса для получения дополнительной информации о порядке принятия инвестиционных решений и процедурах контроля за рисками допускается проведение уполномоченным подразделением встреч с потенциальными внешними управляющими и посещение их офисов.</w:t>
      </w:r>
    </w:p>
    <w:bookmarkEnd w:id="81"/>
    <w:bookmarkStart w:name="z88" w:id="82"/>
    <w:p>
      <w:pPr>
        <w:spacing w:after="0"/>
        <w:ind w:left="0"/>
        <w:jc w:val="both"/>
      </w:pPr>
      <w:r>
        <w:rPr>
          <w:rFonts w:ascii="Times New Roman"/>
          <w:b w:val="false"/>
          <w:i w:val="false"/>
          <w:color w:val="000000"/>
          <w:sz w:val="28"/>
        </w:rPr>
        <w:t xml:space="preserve">
      19. В случае, если потенциальный внешний управляющий, ранее не состоявший в договорных отношениях с Национальным Банком, предлагается для выбора в качестве внешнего управляющего, посещение его офиса является обязательным. </w:t>
      </w:r>
    </w:p>
    <w:bookmarkEnd w:id="82"/>
    <w:bookmarkStart w:name="z89" w:id="83"/>
    <w:p>
      <w:pPr>
        <w:spacing w:after="0"/>
        <w:ind w:left="0"/>
        <w:jc w:val="both"/>
      </w:pPr>
      <w:r>
        <w:rPr>
          <w:rFonts w:ascii="Times New Roman"/>
          <w:b w:val="false"/>
          <w:i w:val="false"/>
          <w:color w:val="000000"/>
          <w:sz w:val="28"/>
        </w:rPr>
        <w:t xml:space="preserve">
      20. Решение о выборе внешних управляющих принимается Правлением Национального Банка. </w:t>
      </w:r>
    </w:p>
    <w:bookmarkEnd w:id="83"/>
    <w:bookmarkStart w:name="z90" w:id="84"/>
    <w:p>
      <w:pPr>
        <w:spacing w:after="0"/>
        <w:ind w:left="0"/>
        <w:jc w:val="both"/>
      </w:pPr>
      <w:r>
        <w:rPr>
          <w:rFonts w:ascii="Times New Roman"/>
          <w:b w:val="false"/>
          <w:i w:val="false"/>
          <w:color w:val="000000"/>
          <w:sz w:val="28"/>
        </w:rPr>
        <w:t xml:space="preserve">
      В случаях перехода правопреемнику внешнего управляющего прав и обязанностей, вытекающих из соглашения о передаче золотовалютных активов во внешнее управление, в связи с реорганизацией данного внешнего управляющего, а также в случаях передачи внешним управляющим своих прав и обязанностей, вытекающих из соглашения о передаче золотовалютных активов во внешнее управление, другому юридическому лицу (компании), выбор указанных лиц в качестве внешнего управляющего осуществляется без проведения процедур,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Правил.</w:t>
      </w:r>
    </w:p>
    <w:bookmarkEnd w:id="84"/>
    <w:bookmarkStart w:name="z91" w:id="85"/>
    <w:p>
      <w:pPr>
        <w:spacing w:after="0"/>
        <w:ind w:left="0"/>
        <w:jc w:val="both"/>
      </w:pPr>
      <w:r>
        <w:rPr>
          <w:rFonts w:ascii="Times New Roman"/>
          <w:b w:val="false"/>
          <w:i w:val="false"/>
          <w:color w:val="000000"/>
          <w:sz w:val="28"/>
        </w:rPr>
        <w:t xml:space="preserve">
      21. Если внешний управляющий, осуществляющий внешнее управление активами, находящимися в доверительном управлении Национального Банка, по аналогичному мандату с положительным уровнем сверхдоходности за период не менее 3 (трех) лет, соответствует критериям, установленным </w:t>
      </w:r>
      <w:r>
        <w:rPr>
          <w:rFonts w:ascii="Times New Roman"/>
          <w:b w:val="false"/>
          <w:i w:val="false"/>
          <w:color w:val="000000"/>
          <w:sz w:val="28"/>
        </w:rPr>
        <w:t>пунктами 13</w:t>
      </w:r>
      <w:r>
        <w:rPr>
          <w:rFonts w:ascii="Times New Roman"/>
          <w:b w:val="false"/>
          <w:i w:val="false"/>
          <w:color w:val="000000"/>
          <w:sz w:val="28"/>
        </w:rPr>
        <w:t xml:space="preserve"> и (или) </w:t>
      </w:r>
      <w:r>
        <w:rPr>
          <w:rFonts w:ascii="Times New Roman"/>
          <w:b w:val="false"/>
          <w:i w:val="false"/>
          <w:color w:val="000000"/>
          <w:sz w:val="28"/>
        </w:rPr>
        <w:t>14</w:t>
      </w:r>
      <w:r>
        <w:rPr>
          <w:rFonts w:ascii="Times New Roman"/>
          <w:b w:val="false"/>
          <w:i w:val="false"/>
          <w:color w:val="000000"/>
          <w:sz w:val="28"/>
        </w:rPr>
        <w:t xml:space="preserve"> Правил, то по решению Председателя Национального Банка, его кандидатура выносится на рассмотрение Правления Национального Банка в качестве внешнего управляющего без проведения процедур, предусмотренных пунктами 10, 11 и 12 Правил.</w:t>
      </w:r>
    </w:p>
    <w:bookmarkEnd w:id="85"/>
    <w:bookmarkStart w:name="z92" w:id="86"/>
    <w:p>
      <w:pPr>
        <w:spacing w:after="0"/>
        <w:ind w:left="0"/>
        <w:jc w:val="both"/>
      </w:pPr>
      <w:r>
        <w:rPr>
          <w:rFonts w:ascii="Times New Roman"/>
          <w:b w:val="false"/>
          <w:i w:val="false"/>
          <w:color w:val="000000"/>
          <w:sz w:val="28"/>
        </w:rPr>
        <w:t>
      22. Для снижения рисков концентрации активов во внешнем управлении в рамках одного мандата (но не одного вида управления) количество действующих внешних управляющих составляет не менее 2 (двух) внешних управляющих.</w:t>
      </w:r>
    </w:p>
    <w:bookmarkEnd w:id="86"/>
    <w:bookmarkStart w:name="z93" w:id="87"/>
    <w:p>
      <w:pPr>
        <w:spacing w:after="0"/>
        <w:ind w:left="0"/>
        <w:jc w:val="both"/>
      </w:pPr>
      <w:r>
        <w:rPr>
          <w:rFonts w:ascii="Times New Roman"/>
          <w:b w:val="false"/>
          <w:i w:val="false"/>
          <w:color w:val="000000"/>
          <w:sz w:val="28"/>
        </w:rPr>
        <w:t>
      23. В целях ускорения процесса выбора внешних управляющих, замены действующих внешних управляющих и повышения конкуренции среди внешних управляющих допускается формирование уполномоченным подразделением резервного списка потенциальных внешних управляющих (далее – резервный список) из числа потенциальных внешних управляющих из короткого списка для последующего утверждения Правлением Национального Банка.</w:t>
      </w:r>
    </w:p>
    <w:bookmarkEnd w:id="87"/>
    <w:bookmarkStart w:name="z94" w:id="88"/>
    <w:p>
      <w:pPr>
        <w:spacing w:after="0"/>
        <w:ind w:left="0"/>
        <w:jc w:val="both"/>
      </w:pPr>
      <w:r>
        <w:rPr>
          <w:rFonts w:ascii="Times New Roman"/>
          <w:b w:val="false"/>
          <w:i w:val="false"/>
          <w:color w:val="000000"/>
          <w:sz w:val="28"/>
        </w:rPr>
        <w:t xml:space="preserve">
      Уполномоченное подразделение проводит мониторинг деятельности внешних управляющих, состоящих в резервном списке, и ежегодно обновляет информацию в рамках инвестиционного и операционного дью-дилидженса. </w:t>
      </w:r>
    </w:p>
    <w:bookmarkEnd w:id="88"/>
    <w:bookmarkStart w:name="z95" w:id="89"/>
    <w:p>
      <w:pPr>
        <w:spacing w:after="0"/>
        <w:ind w:left="0"/>
        <w:jc w:val="both"/>
      </w:pPr>
      <w:r>
        <w:rPr>
          <w:rFonts w:ascii="Times New Roman"/>
          <w:b w:val="false"/>
          <w:i w:val="false"/>
          <w:color w:val="000000"/>
          <w:sz w:val="28"/>
        </w:rPr>
        <w:t xml:space="preserve">
      Передача части золотовалютных активов внешнему управляющему из утвержденного резервного списка осуществляется после принятия решения Правлением Национального Банка о его выборе в качестве внешнего управляющего без проведения процедур,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Правил.</w:t>
      </w:r>
    </w:p>
    <w:bookmarkEnd w:id="89"/>
    <w:bookmarkStart w:name="z96" w:id="90"/>
    <w:p>
      <w:pPr>
        <w:spacing w:after="0"/>
        <w:ind w:left="0"/>
        <w:jc w:val="both"/>
      </w:pPr>
      <w:r>
        <w:rPr>
          <w:rFonts w:ascii="Times New Roman"/>
          <w:b w:val="false"/>
          <w:i w:val="false"/>
          <w:color w:val="000000"/>
          <w:sz w:val="28"/>
        </w:rPr>
        <w:t xml:space="preserve">
      24. Мероприятия, связанные с заключением соглашения о передаче части золотовалютных активов во внешнее управление, и дальнейший мониторинг выполнения его условий осуществляются уполномоченным подразделением. </w:t>
      </w:r>
    </w:p>
    <w:bookmarkEnd w:id="90"/>
    <w:bookmarkStart w:name="z97" w:id="91"/>
    <w:p>
      <w:pPr>
        <w:spacing w:after="0"/>
        <w:ind w:left="0"/>
        <w:jc w:val="both"/>
      </w:pPr>
      <w:r>
        <w:rPr>
          <w:rFonts w:ascii="Times New Roman"/>
          <w:b w:val="false"/>
          <w:i w:val="false"/>
          <w:color w:val="000000"/>
          <w:sz w:val="28"/>
        </w:rPr>
        <w:t>
      25. Соглашение о передаче части золотовалютных активов во внешнее управление содержит следующие условия:</w:t>
      </w:r>
    </w:p>
    <w:bookmarkEnd w:id="91"/>
    <w:bookmarkStart w:name="z98" w:id="92"/>
    <w:p>
      <w:pPr>
        <w:spacing w:after="0"/>
        <w:ind w:left="0"/>
        <w:jc w:val="both"/>
      </w:pPr>
      <w:r>
        <w:rPr>
          <w:rFonts w:ascii="Times New Roman"/>
          <w:b w:val="false"/>
          <w:i w:val="false"/>
          <w:color w:val="000000"/>
          <w:sz w:val="28"/>
        </w:rPr>
        <w:t>
      1) о наличии права Национального Банка досрочно расторгнуть соглашение о передаче части золотовалютных активов во внешнее управление в следующих случаях:</w:t>
      </w:r>
    </w:p>
    <w:bookmarkEnd w:id="92"/>
    <w:bookmarkStart w:name="z99" w:id="93"/>
    <w:p>
      <w:pPr>
        <w:spacing w:after="0"/>
        <w:ind w:left="0"/>
        <w:jc w:val="both"/>
      </w:pPr>
      <w:r>
        <w:rPr>
          <w:rFonts w:ascii="Times New Roman"/>
          <w:b w:val="false"/>
          <w:i w:val="false"/>
          <w:color w:val="000000"/>
          <w:sz w:val="28"/>
        </w:rPr>
        <w:t>
      недостижения внешним управляющим сверхдоходности по управлению портфелем в сравнении с эталонным портфелем;</w:t>
      </w:r>
    </w:p>
    <w:bookmarkEnd w:id="93"/>
    <w:bookmarkStart w:name="z100" w:id="94"/>
    <w:p>
      <w:pPr>
        <w:spacing w:after="0"/>
        <w:ind w:left="0"/>
        <w:jc w:val="both"/>
      </w:pPr>
      <w:r>
        <w:rPr>
          <w:rFonts w:ascii="Times New Roman"/>
          <w:b w:val="false"/>
          <w:i w:val="false"/>
          <w:color w:val="000000"/>
          <w:sz w:val="28"/>
        </w:rPr>
        <w:t>
      нарушения внешним управляющим ограничений, установленных в Инвестиционной стратегии по управлению золотовалютными активами;</w:t>
      </w:r>
    </w:p>
    <w:bookmarkEnd w:id="94"/>
    <w:bookmarkStart w:name="z101" w:id="95"/>
    <w:p>
      <w:pPr>
        <w:spacing w:after="0"/>
        <w:ind w:left="0"/>
        <w:jc w:val="both"/>
      </w:pPr>
      <w:r>
        <w:rPr>
          <w:rFonts w:ascii="Times New Roman"/>
          <w:b w:val="false"/>
          <w:i w:val="false"/>
          <w:color w:val="000000"/>
          <w:sz w:val="28"/>
        </w:rPr>
        <w:t xml:space="preserve">
      внесения изменений в Инвестиционную стратегию по управлению золотовалютными активами; </w:t>
      </w:r>
    </w:p>
    <w:bookmarkEnd w:id="95"/>
    <w:bookmarkStart w:name="z102" w:id="96"/>
    <w:p>
      <w:pPr>
        <w:spacing w:after="0"/>
        <w:ind w:left="0"/>
        <w:jc w:val="both"/>
      </w:pPr>
      <w:r>
        <w:rPr>
          <w:rFonts w:ascii="Times New Roman"/>
          <w:b w:val="false"/>
          <w:i w:val="false"/>
          <w:color w:val="000000"/>
          <w:sz w:val="28"/>
        </w:rPr>
        <w:t>
      решения руководства Национального Банка с представлением письменного уведомления внешнему управляющему и указанием даты расторжения соглашения о передаче части золотовалютных активов во внешнее управление;</w:t>
      </w:r>
    </w:p>
    <w:bookmarkEnd w:id="96"/>
    <w:bookmarkStart w:name="z103" w:id="97"/>
    <w:p>
      <w:pPr>
        <w:spacing w:after="0"/>
        <w:ind w:left="0"/>
        <w:jc w:val="both"/>
      </w:pPr>
      <w:r>
        <w:rPr>
          <w:rFonts w:ascii="Times New Roman"/>
          <w:b w:val="false"/>
          <w:i w:val="false"/>
          <w:color w:val="000000"/>
          <w:sz w:val="28"/>
        </w:rPr>
        <w:t>
      2) о наличии права Национального Банка по своему усмотрению в любое время пополнять (отзывать) часть золотовалютных активов, находящуюся во внешнем управлении;</w:t>
      </w:r>
    </w:p>
    <w:bookmarkEnd w:id="97"/>
    <w:bookmarkStart w:name="z104" w:id="98"/>
    <w:p>
      <w:pPr>
        <w:spacing w:after="0"/>
        <w:ind w:left="0"/>
        <w:jc w:val="both"/>
      </w:pPr>
      <w:r>
        <w:rPr>
          <w:rFonts w:ascii="Times New Roman"/>
          <w:b w:val="false"/>
          <w:i w:val="false"/>
          <w:color w:val="000000"/>
          <w:sz w:val="28"/>
        </w:rPr>
        <w:t>
      3) о предоставлении внешним управляющим информации о передвижении его персонала, ответственного за управление активами, переданными во внешнее управление;</w:t>
      </w:r>
    </w:p>
    <w:bookmarkEnd w:id="98"/>
    <w:bookmarkStart w:name="z105" w:id="99"/>
    <w:p>
      <w:pPr>
        <w:spacing w:after="0"/>
        <w:ind w:left="0"/>
        <w:jc w:val="both"/>
      </w:pPr>
      <w:r>
        <w:rPr>
          <w:rFonts w:ascii="Times New Roman"/>
          <w:b w:val="false"/>
          <w:i w:val="false"/>
          <w:color w:val="000000"/>
          <w:sz w:val="28"/>
        </w:rPr>
        <w:t>
      4) о посещении внешнего управляющего работниками Национального Банка и независимыми аудиторами для целей проверки операций по счету, а также получении дополнительной информации о внешнем управляющем, порядке принятия инвестиционных решений и процедурах мониторинга за рисками;</w:t>
      </w:r>
    </w:p>
    <w:bookmarkEnd w:id="99"/>
    <w:bookmarkStart w:name="z106" w:id="100"/>
    <w:p>
      <w:pPr>
        <w:spacing w:after="0"/>
        <w:ind w:left="0"/>
        <w:jc w:val="both"/>
      </w:pPr>
      <w:r>
        <w:rPr>
          <w:rFonts w:ascii="Times New Roman"/>
          <w:b w:val="false"/>
          <w:i w:val="false"/>
          <w:color w:val="000000"/>
          <w:sz w:val="28"/>
        </w:rPr>
        <w:t>
      5) о запрете на привлечение в качестве брокеров или контрпартнеров по сделкам с активами, переданными во внешнее управление, аффилированных с внешним управляющим лиц;</w:t>
      </w:r>
    </w:p>
    <w:bookmarkEnd w:id="100"/>
    <w:bookmarkStart w:name="z107" w:id="101"/>
    <w:p>
      <w:pPr>
        <w:spacing w:after="0"/>
        <w:ind w:left="0"/>
        <w:jc w:val="both"/>
      </w:pPr>
      <w:r>
        <w:rPr>
          <w:rFonts w:ascii="Times New Roman"/>
          <w:b w:val="false"/>
          <w:i w:val="false"/>
          <w:color w:val="000000"/>
          <w:sz w:val="28"/>
        </w:rPr>
        <w:t>
      6) об ответственности внешнего управляющего за нарушение лимита ожидаемой изменчивости отклонения доходности (ex-ante tracking error), установленного Инвестиционной стратегией по управлению золотовалютными активами;</w:t>
      </w:r>
    </w:p>
    <w:bookmarkEnd w:id="101"/>
    <w:bookmarkStart w:name="z108" w:id="102"/>
    <w:p>
      <w:pPr>
        <w:spacing w:after="0"/>
        <w:ind w:left="0"/>
        <w:jc w:val="both"/>
      </w:pPr>
      <w:r>
        <w:rPr>
          <w:rFonts w:ascii="Times New Roman"/>
          <w:b w:val="false"/>
          <w:i w:val="false"/>
          <w:color w:val="000000"/>
          <w:sz w:val="28"/>
        </w:rPr>
        <w:t>
      7) об ответственности внешнего управляющего за возможные убытки, причиненные Национальному Банку вследствие небрежности, преднамеренного невыполнения обязательств или мошенничества со стороны внешнего управляющего;</w:t>
      </w:r>
    </w:p>
    <w:bookmarkEnd w:id="102"/>
    <w:bookmarkStart w:name="z109" w:id="103"/>
    <w:p>
      <w:pPr>
        <w:spacing w:after="0"/>
        <w:ind w:left="0"/>
        <w:jc w:val="both"/>
      </w:pPr>
      <w:r>
        <w:rPr>
          <w:rFonts w:ascii="Times New Roman"/>
          <w:b w:val="false"/>
          <w:i w:val="false"/>
          <w:color w:val="000000"/>
          <w:sz w:val="28"/>
        </w:rPr>
        <w:t>
      8) об обязанности внешнего управляющего консультировать, обучать или проводить стажировку работников Национального Банка, осуществляющих управление и мониторинг золотовалютных активов;</w:t>
      </w:r>
    </w:p>
    <w:bookmarkEnd w:id="103"/>
    <w:bookmarkStart w:name="z110" w:id="104"/>
    <w:p>
      <w:pPr>
        <w:spacing w:after="0"/>
        <w:ind w:left="0"/>
        <w:jc w:val="both"/>
      </w:pPr>
      <w:r>
        <w:rPr>
          <w:rFonts w:ascii="Times New Roman"/>
          <w:b w:val="false"/>
          <w:i w:val="false"/>
          <w:color w:val="000000"/>
          <w:sz w:val="28"/>
        </w:rPr>
        <w:t>
      9) об обязанности внешнего управляющего представлять в Национальный Банк на регулярной основе в соответствии с соглашением о передаче части золотовалютных активов во внешнее управление следующих отчетностей:</w:t>
      </w:r>
    </w:p>
    <w:bookmarkEnd w:id="104"/>
    <w:bookmarkStart w:name="z111" w:id="105"/>
    <w:p>
      <w:pPr>
        <w:spacing w:after="0"/>
        <w:ind w:left="0"/>
        <w:jc w:val="both"/>
      </w:pPr>
      <w:r>
        <w:rPr>
          <w:rFonts w:ascii="Times New Roman"/>
          <w:b w:val="false"/>
          <w:i w:val="false"/>
          <w:color w:val="000000"/>
          <w:sz w:val="28"/>
        </w:rPr>
        <w:t>
      отчетность по совершенным за предыдущий рабочий день операциям на ежедневной основе;</w:t>
      </w:r>
    </w:p>
    <w:bookmarkEnd w:id="105"/>
    <w:bookmarkStart w:name="z112" w:id="106"/>
    <w:p>
      <w:pPr>
        <w:spacing w:after="0"/>
        <w:ind w:left="0"/>
        <w:jc w:val="both"/>
      </w:pPr>
      <w:r>
        <w:rPr>
          <w:rFonts w:ascii="Times New Roman"/>
          <w:b w:val="false"/>
          <w:i w:val="false"/>
          <w:color w:val="000000"/>
          <w:sz w:val="28"/>
        </w:rPr>
        <w:t>
      оценка портфеля (распределение части золотовалютных активов по различным классам и видам валют, состав портфеля на конец отчетного месяца, рыночная стоимость золотовалютных активов на конец отчетного месяца);</w:t>
      </w:r>
    </w:p>
    <w:bookmarkEnd w:id="106"/>
    <w:bookmarkStart w:name="z113" w:id="107"/>
    <w:p>
      <w:pPr>
        <w:spacing w:after="0"/>
        <w:ind w:left="0"/>
        <w:jc w:val="both"/>
      </w:pPr>
      <w:r>
        <w:rPr>
          <w:rFonts w:ascii="Times New Roman"/>
          <w:b w:val="false"/>
          <w:i w:val="false"/>
          <w:color w:val="000000"/>
          <w:sz w:val="28"/>
        </w:rPr>
        <w:t>
      движения в портфеле (перечень всех заключенных за отчетный квартал сделок, отсортированные по различным классам и валютам, по сроку погашения, выплате дивидендов и накопленным процентам);</w:t>
      </w:r>
    </w:p>
    <w:bookmarkEnd w:id="107"/>
    <w:bookmarkStart w:name="z114" w:id="108"/>
    <w:p>
      <w:pPr>
        <w:spacing w:after="0"/>
        <w:ind w:left="0"/>
        <w:jc w:val="both"/>
      </w:pPr>
      <w:r>
        <w:rPr>
          <w:rFonts w:ascii="Times New Roman"/>
          <w:b w:val="false"/>
          <w:i w:val="false"/>
          <w:color w:val="000000"/>
          <w:sz w:val="28"/>
        </w:rPr>
        <w:t>
      анализ результатов управления портфелем (ежемесячные, квартальные и общие результаты управления портфелем в разрезе достигнутой доходности, показателей риска портфеля и уровня изменчивости отклонения доходности (tracking error) в сравнении с эталонным портфелем);</w:t>
      </w:r>
    </w:p>
    <w:bookmarkEnd w:id="108"/>
    <w:bookmarkStart w:name="z115" w:id="109"/>
    <w:p>
      <w:pPr>
        <w:spacing w:after="0"/>
        <w:ind w:left="0"/>
        <w:jc w:val="both"/>
      </w:pPr>
      <w:r>
        <w:rPr>
          <w:rFonts w:ascii="Times New Roman"/>
          <w:b w:val="false"/>
          <w:i w:val="false"/>
          <w:color w:val="000000"/>
          <w:sz w:val="28"/>
        </w:rPr>
        <w:t>
      отчет о состоянии соответствующих рынков и их влиянии на портфель и (или) макроэкономический обзор;</w:t>
      </w:r>
    </w:p>
    <w:bookmarkEnd w:id="109"/>
    <w:bookmarkStart w:name="z116" w:id="110"/>
    <w:p>
      <w:pPr>
        <w:spacing w:after="0"/>
        <w:ind w:left="0"/>
        <w:jc w:val="both"/>
      </w:pPr>
      <w:r>
        <w:rPr>
          <w:rFonts w:ascii="Times New Roman"/>
          <w:b w:val="false"/>
          <w:i w:val="false"/>
          <w:color w:val="000000"/>
          <w:sz w:val="28"/>
        </w:rPr>
        <w:t>
      обзор стратегии и объяснение наиболее важных изменений в структуре портфеля;</w:t>
      </w:r>
    </w:p>
    <w:bookmarkEnd w:id="110"/>
    <w:bookmarkStart w:name="z117" w:id="111"/>
    <w:p>
      <w:pPr>
        <w:spacing w:after="0"/>
        <w:ind w:left="0"/>
        <w:jc w:val="both"/>
      </w:pPr>
      <w:r>
        <w:rPr>
          <w:rFonts w:ascii="Times New Roman"/>
          <w:b w:val="false"/>
          <w:i w:val="false"/>
          <w:color w:val="000000"/>
          <w:sz w:val="28"/>
        </w:rPr>
        <w:t>
      текущая стратегия инвестирования;</w:t>
      </w:r>
    </w:p>
    <w:bookmarkEnd w:id="111"/>
    <w:bookmarkStart w:name="z118" w:id="112"/>
    <w:p>
      <w:pPr>
        <w:spacing w:after="0"/>
        <w:ind w:left="0"/>
        <w:jc w:val="both"/>
      </w:pPr>
      <w:r>
        <w:rPr>
          <w:rFonts w:ascii="Times New Roman"/>
          <w:b w:val="false"/>
          <w:i w:val="false"/>
          <w:color w:val="000000"/>
          <w:sz w:val="28"/>
        </w:rPr>
        <w:t>
      вклад различных факторов в доходность портфеля для активного управления активами;</w:t>
      </w:r>
    </w:p>
    <w:bookmarkEnd w:id="112"/>
    <w:bookmarkStart w:name="z119" w:id="113"/>
    <w:p>
      <w:pPr>
        <w:spacing w:after="0"/>
        <w:ind w:left="0"/>
        <w:jc w:val="both"/>
      </w:pPr>
      <w:r>
        <w:rPr>
          <w:rFonts w:ascii="Times New Roman"/>
          <w:b w:val="false"/>
          <w:i w:val="false"/>
          <w:color w:val="000000"/>
          <w:sz w:val="28"/>
        </w:rPr>
        <w:t>
      10) об осуществлении внешним управляющим на конец каждого месяца или на дату завершения транзитного периода сверки состава портфеля, переданного во внешнее управление, с данными банка (банков)- кастодиана (кастодианов), в соответствии с соглашением о передаче части золотовалютных активов во внешнее управление;</w:t>
      </w:r>
    </w:p>
    <w:bookmarkEnd w:id="113"/>
    <w:bookmarkStart w:name="z120" w:id="114"/>
    <w:p>
      <w:pPr>
        <w:spacing w:after="0"/>
        <w:ind w:left="0"/>
        <w:jc w:val="both"/>
      </w:pPr>
      <w:r>
        <w:rPr>
          <w:rFonts w:ascii="Times New Roman"/>
          <w:b w:val="false"/>
          <w:i w:val="false"/>
          <w:color w:val="000000"/>
          <w:sz w:val="28"/>
        </w:rPr>
        <w:t>
      11) о представлении внешним управляющим информации о проведенных операциях банку-кастодиану, ответственному за консолидированный учет, не позднее следующего рабочего дня после согласования и завершения процедур подтверждения сделок между внешним управляющим и брокером;</w:t>
      </w:r>
    </w:p>
    <w:bookmarkEnd w:id="114"/>
    <w:bookmarkStart w:name="z121" w:id="115"/>
    <w:p>
      <w:pPr>
        <w:spacing w:after="0"/>
        <w:ind w:left="0"/>
        <w:jc w:val="both"/>
      </w:pPr>
      <w:r>
        <w:rPr>
          <w:rFonts w:ascii="Times New Roman"/>
          <w:b w:val="false"/>
          <w:i w:val="false"/>
          <w:color w:val="000000"/>
          <w:sz w:val="28"/>
        </w:rPr>
        <w:t>
      12) о представлении внешним управляющим информации, документов о процедурах утверждения брокеров, а также агентов и контрпартнеров внешнего управляющего;</w:t>
      </w:r>
    </w:p>
    <w:bookmarkEnd w:id="115"/>
    <w:bookmarkStart w:name="z122" w:id="116"/>
    <w:p>
      <w:pPr>
        <w:spacing w:after="0"/>
        <w:ind w:left="0"/>
        <w:jc w:val="both"/>
      </w:pPr>
      <w:r>
        <w:rPr>
          <w:rFonts w:ascii="Times New Roman"/>
          <w:b w:val="false"/>
          <w:i w:val="false"/>
          <w:color w:val="000000"/>
          <w:sz w:val="28"/>
        </w:rPr>
        <w:t>
      13) о представлении внешним управляющим информации о наличии внутренних политик и процедур управления рисками внешнего управляющего, снижающих риск злоупотреблений и конфликта интересов, в том числе обеспечивающих равноправное распределение сделок среди портфелей клиентов;</w:t>
      </w:r>
    </w:p>
    <w:bookmarkEnd w:id="116"/>
    <w:bookmarkStart w:name="z123" w:id="117"/>
    <w:p>
      <w:pPr>
        <w:spacing w:after="0"/>
        <w:ind w:left="0"/>
        <w:jc w:val="both"/>
      </w:pPr>
      <w:r>
        <w:rPr>
          <w:rFonts w:ascii="Times New Roman"/>
          <w:b w:val="false"/>
          <w:i w:val="false"/>
          <w:color w:val="000000"/>
          <w:sz w:val="28"/>
        </w:rPr>
        <w:t>
      14) о проведении внешним управляющим с периодичностью один раз в год встреч с уполномоченным подразделением для представления результатов управления частью золотовалютных активов, о соблюдении инвестиционных ограничений, оценке рыночной ситуации и ее возможном влиянии на портфель и на осуществление инвестиционных операций по управлению с золотовалютными активами;</w:t>
      </w:r>
    </w:p>
    <w:bookmarkEnd w:id="117"/>
    <w:bookmarkStart w:name="z124" w:id="118"/>
    <w:p>
      <w:pPr>
        <w:spacing w:after="0"/>
        <w:ind w:left="0"/>
        <w:jc w:val="both"/>
      </w:pPr>
      <w:r>
        <w:rPr>
          <w:rFonts w:ascii="Times New Roman"/>
          <w:b w:val="false"/>
          <w:i w:val="false"/>
          <w:color w:val="000000"/>
          <w:sz w:val="28"/>
        </w:rPr>
        <w:t>
      15) о представлении внешним управляющим информации по примененным надзорными органами мерам и участию в судебных разбирательствах.</w:t>
      </w:r>
    </w:p>
    <w:bookmarkEnd w:id="118"/>
    <w:bookmarkStart w:name="z125" w:id="119"/>
    <w:p>
      <w:pPr>
        <w:spacing w:after="0"/>
        <w:ind w:left="0"/>
        <w:jc w:val="both"/>
      </w:pPr>
      <w:r>
        <w:rPr>
          <w:rFonts w:ascii="Times New Roman"/>
          <w:b w:val="false"/>
          <w:i w:val="false"/>
          <w:color w:val="000000"/>
          <w:sz w:val="28"/>
        </w:rPr>
        <w:t xml:space="preserve">
      16) о представлении внешним управляющим в Национальный Банк сверенной с банком (банками)-кастодианом (кастодианами) полной отчетности по портфелю на дату расторжения соглашения о передаче части золотовалютных активов во внешнее управление; </w:t>
      </w:r>
    </w:p>
    <w:bookmarkEnd w:id="119"/>
    <w:bookmarkStart w:name="z126" w:id="120"/>
    <w:p>
      <w:pPr>
        <w:spacing w:after="0"/>
        <w:ind w:left="0"/>
        <w:jc w:val="both"/>
      </w:pPr>
      <w:r>
        <w:rPr>
          <w:rFonts w:ascii="Times New Roman"/>
          <w:b w:val="false"/>
          <w:i w:val="false"/>
          <w:color w:val="000000"/>
          <w:sz w:val="28"/>
        </w:rPr>
        <w:t>
      17) о подписании соглашения о передаче части золотовалютных активов во внешнее управление на казахском, русском языках и на языке, определенном по согласованию сторон;</w:t>
      </w:r>
    </w:p>
    <w:bookmarkEnd w:id="120"/>
    <w:bookmarkStart w:name="z127" w:id="121"/>
    <w:p>
      <w:pPr>
        <w:spacing w:after="0"/>
        <w:ind w:left="0"/>
        <w:jc w:val="both"/>
      </w:pPr>
      <w:r>
        <w:rPr>
          <w:rFonts w:ascii="Times New Roman"/>
          <w:b w:val="false"/>
          <w:i w:val="false"/>
          <w:color w:val="000000"/>
          <w:sz w:val="28"/>
        </w:rPr>
        <w:t>
      18) о возможности внесения изменений и (или) дополнений в соглашение о передаче части золотовалютных активов во внешнее управление с письменного согласия обеих сторон.</w:t>
      </w:r>
    </w:p>
    <w:bookmarkEnd w:id="121"/>
    <w:bookmarkStart w:name="z128" w:id="122"/>
    <w:p>
      <w:pPr>
        <w:spacing w:after="0"/>
        <w:ind w:left="0"/>
        <w:jc w:val="both"/>
      </w:pPr>
      <w:r>
        <w:rPr>
          <w:rFonts w:ascii="Times New Roman"/>
          <w:b w:val="false"/>
          <w:i w:val="false"/>
          <w:color w:val="000000"/>
          <w:sz w:val="28"/>
        </w:rPr>
        <w:t xml:space="preserve">
      26. Национальный Банк в соответствии с соглашением о передаче части золотовалютных активов во внешнее управление осуществляет передачу части золотовалютных активов во внешнее управление путем перевода денег и (или) ценных бумаг на счета Национального Банка у банка (банков)-кастодиана (кастодианов), предназначенные для внешнего управления. </w:t>
      </w:r>
    </w:p>
    <w:bookmarkEnd w:id="122"/>
    <w:bookmarkStart w:name="z129" w:id="123"/>
    <w:p>
      <w:pPr>
        <w:spacing w:after="0"/>
        <w:ind w:left="0"/>
        <w:jc w:val="both"/>
      </w:pPr>
      <w:r>
        <w:rPr>
          <w:rFonts w:ascii="Times New Roman"/>
          <w:b w:val="false"/>
          <w:i w:val="false"/>
          <w:color w:val="000000"/>
          <w:sz w:val="28"/>
        </w:rPr>
        <w:t>
      27. При передаче части золотовалютных активов во внешнее управление учитывается транзитный период для формирования портфеля в соответствии с целевыми параметрами, установленными Национальным Банком. Длительность транзитного периода не превышает 15 (пятнадцать) рабочих дней.</w:t>
      </w:r>
    </w:p>
    <w:bookmarkEnd w:id="123"/>
    <w:bookmarkStart w:name="z130" w:id="124"/>
    <w:p>
      <w:pPr>
        <w:spacing w:after="0"/>
        <w:ind w:left="0"/>
        <w:jc w:val="both"/>
      </w:pPr>
      <w:r>
        <w:rPr>
          <w:rFonts w:ascii="Times New Roman"/>
          <w:b w:val="false"/>
          <w:i w:val="false"/>
          <w:color w:val="000000"/>
          <w:sz w:val="28"/>
        </w:rPr>
        <w:t>
      28. Часть золотовалютных активов, передаваемая во внешнее управление, хранится на счетах Национального Банка в банке (банках)-кастодиане (кастодианах) и на маржевом счете у клирингового брокера.</w:t>
      </w:r>
    </w:p>
    <w:bookmarkEnd w:id="124"/>
    <w:bookmarkStart w:name="z131" w:id="125"/>
    <w:p>
      <w:pPr>
        <w:spacing w:after="0"/>
        <w:ind w:left="0"/>
        <w:jc w:val="both"/>
      </w:pPr>
      <w:r>
        <w:rPr>
          <w:rFonts w:ascii="Times New Roman"/>
          <w:b w:val="false"/>
          <w:i w:val="false"/>
          <w:color w:val="000000"/>
          <w:sz w:val="28"/>
        </w:rPr>
        <w:t>
      29. Со дня передачи части золотовалютных активов во внешнее управление уполномоченное подразделение проводит ежедневный мониторинг деятельности внешнего управляющего путем проверки соблюдения ограничений, установленных в соглашении о передаче части золотовалютных активов во внешнее управление, осуществления мониторинга сделок, совершаемых внешним управляющим, оценки показателей риска и доходности портфеля во внешнем управлении.</w:t>
      </w:r>
    </w:p>
    <w:bookmarkEnd w:id="125"/>
    <w:bookmarkStart w:name="z132" w:id="126"/>
    <w:p>
      <w:pPr>
        <w:spacing w:after="0"/>
        <w:ind w:left="0"/>
        <w:jc w:val="both"/>
      </w:pPr>
      <w:r>
        <w:rPr>
          <w:rFonts w:ascii="Times New Roman"/>
          <w:b w:val="false"/>
          <w:i w:val="false"/>
          <w:color w:val="000000"/>
          <w:sz w:val="28"/>
        </w:rPr>
        <w:t>
      30. Уполномоченное подразделение в соответствии с соглашением о передаче части золотовалютных активов во внешнее управление не реже, чем один раз в год проводит встречу с внешним управляющим либо организует видео или телеконференцию, на которой внешний управляющий отчитывается о результатах управления, о соблюдении инвестиционных ограничений, дает оценку рыночной ситуации и ее возможном влиянии на портфель и на осуществление инвестиционных операций по управлению золотовалютными активами.</w:t>
      </w:r>
    </w:p>
    <w:bookmarkEnd w:id="126"/>
    <w:bookmarkStart w:name="z133" w:id="127"/>
    <w:p>
      <w:pPr>
        <w:spacing w:after="0"/>
        <w:ind w:left="0"/>
        <w:jc w:val="both"/>
      </w:pPr>
      <w:r>
        <w:rPr>
          <w:rFonts w:ascii="Times New Roman"/>
          <w:b w:val="false"/>
          <w:i w:val="false"/>
          <w:color w:val="000000"/>
          <w:sz w:val="28"/>
        </w:rPr>
        <w:t xml:space="preserve">
      31. Оценка эффективности работы действующих внешних управляющих осуществляется на основе методики оценки эффективности работы внешнего управляющего,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Правилам. По результатам проведенного анализа эффективности работы внешнего управляющего в целом и по классам активов за период управления в 3 (три), 5 (пять) лет и более со дня начала управления с учетом взимаемого комиссионного вознаграждения, руководством Национального Банка принимается соответствующее решение о пополнении (изъятии) части золотовалютных активов или продолжении (прекращении) работы с данным внешним управляющим, либо вынесении данного вопроса на рассмотрение Правления Национального Банка. </w:t>
      </w:r>
    </w:p>
    <w:bookmarkEnd w:id="127"/>
    <w:bookmarkStart w:name="z134" w:id="128"/>
    <w:p>
      <w:pPr>
        <w:spacing w:after="0"/>
        <w:ind w:left="0"/>
        <w:jc w:val="both"/>
      </w:pPr>
      <w:r>
        <w:rPr>
          <w:rFonts w:ascii="Times New Roman"/>
          <w:b w:val="false"/>
          <w:i w:val="false"/>
          <w:color w:val="000000"/>
          <w:sz w:val="28"/>
        </w:rPr>
        <w:t>
      32. По решению руководства Национального Банка изъятие части золотовалютных активов или досрочное расторжение соглашения о передаче части золотовалютных активов во внешнее управление с внешним управляющим проводится без процедуры, указанной в пункте 31 Правил.</w:t>
      </w:r>
    </w:p>
    <w:bookmarkEnd w:id="128"/>
    <w:bookmarkStart w:name="z135" w:id="129"/>
    <w:p>
      <w:pPr>
        <w:spacing w:after="0"/>
        <w:ind w:left="0"/>
        <w:jc w:val="both"/>
      </w:pPr>
      <w:r>
        <w:rPr>
          <w:rFonts w:ascii="Times New Roman"/>
          <w:b w:val="false"/>
          <w:i w:val="false"/>
          <w:color w:val="000000"/>
          <w:sz w:val="28"/>
        </w:rPr>
        <w:t>
      33. Отчет о результатах управления внешних управляющих выносится уполномоченным подразделением на рассмотрение Правления Национального Банка не реже, чем один раз в год.</w:t>
      </w:r>
    </w:p>
    <w:bookmarkEnd w:id="129"/>
    <w:bookmarkStart w:name="z136" w:id="130"/>
    <w:p>
      <w:pPr>
        <w:spacing w:after="0"/>
        <w:ind w:left="0"/>
        <w:jc w:val="left"/>
      </w:pPr>
      <w:r>
        <w:rPr>
          <w:rFonts w:ascii="Times New Roman"/>
          <w:b/>
          <w:i w:val="false"/>
          <w:color w:val="000000"/>
        </w:rPr>
        <w:t xml:space="preserve"> Глава 3. Порядок передачи части золотовалютных активов во внешнее транзитное управление</w:t>
      </w:r>
    </w:p>
    <w:bookmarkEnd w:id="130"/>
    <w:bookmarkStart w:name="z137" w:id="131"/>
    <w:p>
      <w:pPr>
        <w:spacing w:after="0"/>
        <w:ind w:left="0"/>
        <w:jc w:val="both"/>
      </w:pPr>
      <w:r>
        <w:rPr>
          <w:rFonts w:ascii="Times New Roman"/>
          <w:b w:val="false"/>
          <w:i w:val="false"/>
          <w:color w:val="000000"/>
          <w:sz w:val="28"/>
        </w:rPr>
        <w:t xml:space="preserve">
      34. Для выбора внешнего транзитного управляющего, уполномоченное подразделение направляет запрос потенциальным транзитным управляющим о представлении информации по рынкам охвата, стратегиям транзитного управления и стоимости услуг в разрезе классов инструментов и рынков и проводит анализ поступивших предложений. </w:t>
      </w:r>
    </w:p>
    <w:bookmarkEnd w:id="131"/>
    <w:bookmarkStart w:name="z138" w:id="132"/>
    <w:p>
      <w:pPr>
        <w:spacing w:after="0"/>
        <w:ind w:left="0"/>
        <w:jc w:val="both"/>
      </w:pPr>
      <w:r>
        <w:rPr>
          <w:rFonts w:ascii="Times New Roman"/>
          <w:b w:val="false"/>
          <w:i w:val="false"/>
          <w:color w:val="000000"/>
          <w:sz w:val="28"/>
        </w:rPr>
        <w:t xml:space="preserve">
      35. Решение о выборе внешнего транзитного управляющего принимается Председателем Национального Банка. </w:t>
      </w:r>
    </w:p>
    <w:bookmarkEnd w:id="132"/>
    <w:bookmarkStart w:name="z139" w:id="133"/>
    <w:p>
      <w:pPr>
        <w:spacing w:after="0"/>
        <w:ind w:left="0"/>
        <w:jc w:val="both"/>
      </w:pPr>
      <w:r>
        <w:rPr>
          <w:rFonts w:ascii="Times New Roman"/>
          <w:b w:val="false"/>
          <w:i w:val="false"/>
          <w:color w:val="000000"/>
          <w:sz w:val="28"/>
        </w:rPr>
        <w:t xml:space="preserve">
      36. Мероприятия, связанные с заключением соглашения о передаче части золотовалютных активов во внешнее транзитное управление, и дальнейшим мониторингом за выполнением его условий осуществляются уполномоченным подразделением. </w:t>
      </w:r>
    </w:p>
    <w:bookmarkEnd w:id="133"/>
    <w:bookmarkStart w:name="z140" w:id="134"/>
    <w:p>
      <w:pPr>
        <w:spacing w:after="0"/>
        <w:ind w:left="0"/>
        <w:jc w:val="both"/>
      </w:pPr>
      <w:r>
        <w:rPr>
          <w:rFonts w:ascii="Times New Roman"/>
          <w:b w:val="false"/>
          <w:i w:val="false"/>
          <w:color w:val="000000"/>
          <w:sz w:val="28"/>
        </w:rPr>
        <w:t>
      37. Соглашение о передаче части золотовалютных активов во внешнее транзитное управление содержит следующие условия:</w:t>
      </w:r>
    </w:p>
    <w:bookmarkEnd w:id="134"/>
    <w:bookmarkStart w:name="z141" w:id="135"/>
    <w:p>
      <w:pPr>
        <w:spacing w:after="0"/>
        <w:ind w:left="0"/>
        <w:jc w:val="both"/>
      </w:pPr>
      <w:r>
        <w:rPr>
          <w:rFonts w:ascii="Times New Roman"/>
          <w:b w:val="false"/>
          <w:i w:val="false"/>
          <w:color w:val="000000"/>
          <w:sz w:val="28"/>
        </w:rPr>
        <w:t>
      1) о наличии права Национального Банка досрочно расторгнуть соглашение о передаче части золотовалютных активов во внешнее транзитное управление в следующих случаях:</w:t>
      </w:r>
    </w:p>
    <w:bookmarkEnd w:id="135"/>
    <w:bookmarkStart w:name="z142" w:id="136"/>
    <w:p>
      <w:pPr>
        <w:spacing w:after="0"/>
        <w:ind w:left="0"/>
        <w:jc w:val="both"/>
      </w:pPr>
      <w:r>
        <w:rPr>
          <w:rFonts w:ascii="Times New Roman"/>
          <w:b w:val="false"/>
          <w:i w:val="false"/>
          <w:color w:val="000000"/>
          <w:sz w:val="28"/>
        </w:rPr>
        <w:t>
      нарушения внешним транзитным управляющим условий соглашения о передаче части золотовалютных активов во внешнее транзитное управление;</w:t>
      </w:r>
    </w:p>
    <w:bookmarkEnd w:id="136"/>
    <w:bookmarkStart w:name="z143" w:id="137"/>
    <w:p>
      <w:pPr>
        <w:spacing w:after="0"/>
        <w:ind w:left="0"/>
        <w:jc w:val="both"/>
      </w:pPr>
      <w:r>
        <w:rPr>
          <w:rFonts w:ascii="Times New Roman"/>
          <w:b w:val="false"/>
          <w:i w:val="false"/>
          <w:color w:val="000000"/>
          <w:sz w:val="28"/>
        </w:rPr>
        <w:t>
      решения руководства Национального Банка;</w:t>
      </w:r>
    </w:p>
    <w:bookmarkEnd w:id="137"/>
    <w:bookmarkStart w:name="z144" w:id="138"/>
    <w:p>
      <w:pPr>
        <w:spacing w:after="0"/>
        <w:ind w:left="0"/>
        <w:jc w:val="both"/>
      </w:pPr>
      <w:r>
        <w:rPr>
          <w:rFonts w:ascii="Times New Roman"/>
          <w:b w:val="false"/>
          <w:i w:val="false"/>
          <w:color w:val="000000"/>
          <w:sz w:val="28"/>
        </w:rPr>
        <w:t>
      2) о наличии права Национального Банка по своему усмотрению в любое время пополнять (отзывать) часть золотовалютных активов, находящуюся во внешнем транзитном управлении, если такие действия не затрагивают любое незавершенное внешнее транзитное управление частью золотовалютных активов;</w:t>
      </w:r>
    </w:p>
    <w:bookmarkEnd w:id="138"/>
    <w:bookmarkStart w:name="z145" w:id="139"/>
    <w:p>
      <w:pPr>
        <w:spacing w:after="0"/>
        <w:ind w:left="0"/>
        <w:jc w:val="both"/>
      </w:pPr>
      <w:r>
        <w:rPr>
          <w:rFonts w:ascii="Times New Roman"/>
          <w:b w:val="false"/>
          <w:i w:val="false"/>
          <w:color w:val="000000"/>
          <w:sz w:val="28"/>
        </w:rPr>
        <w:t>
      3) о предоставлении внешним транзитным управляющим информации о передвижении его персонала, ответственного за управление активами, переданными во внешнее транзитное управление;</w:t>
      </w:r>
    </w:p>
    <w:bookmarkEnd w:id="139"/>
    <w:bookmarkStart w:name="z146" w:id="140"/>
    <w:p>
      <w:pPr>
        <w:spacing w:after="0"/>
        <w:ind w:left="0"/>
        <w:jc w:val="both"/>
      </w:pPr>
      <w:r>
        <w:rPr>
          <w:rFonts w:ascii="Times New Roman"/>
          <w:b w:val="false"/>
          <w:i w:val="false"/>
          <w:color w:val="000000"/>
          <w:sz w:val="28"/>
        </w:rPr>
        <w:t>
      4) о посещении внешнего транзитного управляющего работниками Национального Банка и независимыми аудиторами для целей проверки операций по счету, а также получении дополнительной информации о внешнем транзитном управляющем, порядке принятия инвестиционных решений и процедурах мониторинга за рисками;</w:t>
      </w:r>
    </w:p>
    <w:bookmarkEnd w:id="140"/>
    <w:bookmarkStart w:name="z147" w:id="141"/>
    <w:p>
      <w:pPr>
        <w:spacing w:after="0"/>
        <w:ind w:left="0"/>
        <w:jc w:val="both"/>
      </w:pPr>
      <w:r>
        <w:rPr>
          <w:rFonts w:ascii="Times New Roman"/>
          <w:b w:val="false"/>
          <w:i w:val="false"/>
          <w:color w:val="000000"/>
          <w:sz w:val="28"/>
        </w:rPr>
        <w:t>
      5) об ответственности внешнего транзитного управляющего за возможные убытки, причиненные Национальному Банку вследствие небрежности, преднамеренного невыполнения обязательств или мошенничества со стороны внешнего транзитного управляющего;</w:t>
      </w:r>
    </w:p>
    <w:bookmarkEnd w:id="141"/>
    <w:bookmarkStart w:name="z148" w:id="142"/>
    <w:p>
      <w:pPr>
        <w:spacing w:after="0"/>
        <w:ind w:left="0"/>
        <w:jc w:val="both"/>
      </w:pPr>
      <w:r>
        <w:rPr>
          <w:rFonts w:ascii="Times New Roman"/>
          <w:b w:val="false"/>
          <w:i w:val="false"/>
          <w:color w:val="000000"/>
          <w:sz w:val="28"/>
        </w:rPr>
        <w:t>
      6) о представлении внешним транзитным управляющим информации о проведенных операциях банку-кастодиану, ответственному за консолидированный учет, не позднее следующего рабочего дня после согласования и завершения процедур подтверждения сделок между внешним транзитным управляющим и брокером;</w:t>
      </w:r>
    </w:p>
    <w:bookmarkEnd w:id="142"/>
    <w:bookmarkStart w:name="z149" w:id="143"/>
    <w:p>
      <w:pPr>
        <w:spacing w:after="0"/>
        <w:ind w:left="0"/>
        <w:jc w:val="both"/>
      </w:pPr>
      <w:r>
        <w:rPr>
          <w:rFonts w:ascii="Times New Roman"/>
          <w:b w:val="false"/>
          <w:i w:val="false"/>
          <w:color w:val="000000"/>
          <w:sz w:val="28"/>
        </w:rPr>
        <w:t>
      7) о представлении внешним транзитным управляющим информации, документов о процедурах утверждения брокеров, а также агентов и контрпартнеров внешнего транзитного управляющего;</w:t>
      </w:r>
    </w:p>
    <w:bookmarkEnd w:id="143"/>
    <w:bookmarkStart w:name="z150" w:id="144"/>
    <w:p>
      <w:pPr>
        <w:spacing w:after="0"/>
        <w:ind w:left="0"/>
        <w:jc w:val="both"/>
      </w:pPr>
      <w:r>
        <w:rPr>
          <w:rFonts w:ascii="Times New Roman"/>
          <w:b w:val="false"/>
          <w:i w:val="false"/>
          <w:color w:val="000000"/>
          <w:sz w:val="28"/>
        </w:rPr>
        <w:t>
      8) о представлении внешним транзитным управляющим информации о наличии внутренних политик и процедур управления рисками внешнего транзитного управляющего, снижающих риск злоупотреблений и конфликта интересов, в том числе обеспечивающих равноправное распределение сделок среди портфелей клиентов;</w:t>
      </w:r>
    </w:p>
    <w:bookmarkEnd w:id="144"/>
    <w:bookmarkStart w:name="z151" w:id="145"/>
    <w:p>
      <w:pPr>
        <w:spacing w:after="0"/>
        <w:ind w:left="0"/>
        <w:jc w:val="both"/>
      </w:pPr>
      <w:r>
        <w:rPr>
          <w:rFonts w:ascii="Times New Roman"/>
          <w:b w:val="false"/>
          <w:i w:val="false"/>
          <w:color w:val="000000"/>
          <w:sz w:val="28"/>
        </w:rPr>
        <w:t>
      9) об обязанности внешнего транзитного управляющего представлять в Национальный Банк в соответствии с соглашением о передаче части золотовалютных активов во внешнее транзитное управление в течение 10 (десять) рабочих дней после завершения транзитного периода следующих отчетностей:</w:t>
      </w:r>
    </w:p>
    <w:bookmarkEnd w:id="145"/>
    <w:bookmarkStart w:name="z152" w:id="146"/>
    <w:p>
      <w:pPr>
        <w:spacing w:after="0"/>
        <w:ind w:left="0"/>
        <w:jc w:val="both"/>
      </w:pPr>
      <w:r>
        <w:rPr>
          <w:rFonts w:ascii="Times New Roman"/>
          <w:b w:val="false"/>
          <w:i w:val="false"/>
          <w:color w:val="000000"/>
          <w:sz w:val="28"/>
        </w:rPr>
        <w:t>
      отчетность по всем сделкам с ценными бумагами, совершенным внешним транзитным управляющим и его аффилированными брокерами (дилерами) и брокерами по фьючерсным сделкам в течение транзитного периода;</w:t>
      </w:r>
    </w:p>
    <w:bookmarkEnd w:id="146"/>
    <w:bookmarkStart w:name="z153" w:id="147"/>
    <w:p>
      <w:pPr>
        <w:spacing w:after="0"/>
        <w:ind w:left="0"/>
        <w:jc w:val="both"/>
      </w:pPr>
      <w:r>
        <w:rPr>
          <w:rFonts w:ascii="Times New Roman"/>
          <w:b w:val="false"/>
          <w:i w:val="false"/>
          <w:color w:val="000000"/>
          <w:sz w:val="28"/>
        </w:rPr>
        <w:t>
      отчет о результатах выполнения внешнего транзитного управления частью золотовалютных активов, включая разницу в стоимости исполнения сделки, комиссионное вознаграждение брокеров, влияние рынка, разницу курсов покупки и продажи валюты по форексным операциям, налоги и упущенную выгоду на дату завершения транзитного периода;</w:t>
      </w:r>
    </w:p>
    <w:bookmarkEnd w:id="147"/>
    <w:bookmarkStart w:name="z154" w:id="148"/>
    <w:p>
      <w:pPr>
        <w:spacing w:after="0"/>
        <w:ind w:left="0"/>
        <w:jc w:val="both"/>
      </w:pPr>
      <w:r>
        <w:rPr>
          <w:rFonts w:ascii="Times New Roman"/>
          <w:b w:val="false"/>
          <w:i w:val="false"/>
          <w:color w:val="000000"/>
          <w:sz w:val="28"/>
        </w:rPr>
        <w:t xml:space="preserve">
      отчет о состоянии соответствующих рынков и их влиянию на портфель; </w:t>
      </w:r>
    </w:p>
    <w:bookmarkEnd w:id="148"/>
    <w:bookmarkStart w:name="z155" w:id="149"/>
    <w:p>
      <w:pPr>
        <w:spacing w:after="0"/>
        <w:ind w:left="0"/>
        <w:jc w:val="both"/>
      </w:pPr>
      <w:r>
        <w:rPr>
          <w:rFonts w:ascii="Times New Roman"/>
          <w:b w:val="false"/>
          <w:i w:val="false"/>
          <w:color w:val="000000"/>
          <w:sz w:val="28"/>
        </w:rPr>
        <w:t>
      обзор стратегии и объяснение наиболее важных изменений в структуре портфеля;</w:t>
      </w:r>
    </w:p>
    <w:bookmarkEnd w:id="149"/>
    <w:bookmarkStart w:name="z156" w:id="150"/>
    <w:p>
      <w:pPr>
        <w:spacing w:after="0"/>
        <w:ind w:left="0"/>
        <w:jc w:val="both"/>
      </w:pPr>
      <w:r>
        <w:rPr>
          <w:rFonts w:ascii="Times New Roman"/>
          <w:b w:val="false"/>
          <w:i w:val="false"/>
          <w:color w:val="000000"/>
          <w:sz w:val="28"/>
        </w:rPr>
        <w:t>
      10) о представлении внешним транзитным управляющим информации по примененным надзорными органами мерам и участию в судебных разбирательствах;</w:t>
      </w:r>
    </w:p>
    <w:bookmarkEnd w:id="150"/>
    <w:bookmarkStart w:name="z157" w:id="151"/>
    <w:p>
      <w:pPr>
        <w:spacing w:after="0"/>
        <w:ind w:left="0"/>
        <w:jc w:val="both"/>
      </w:pPr>
      <w:r>
        <w:rPr>
          <w:rFonts w:ascii="Times New Roman"/>
          <w:b w:val="false"/>
          <w:i w:val="false"/>
          <w:color w:val="000000"/>
          <w:sz w:val="28"/>
        </w:rPr>
        <w:t>
      11) о представлении внешним транзитным управляющим на момент завершения транзитного периода сверенной с банком (банками)-кастодианом (кастодианами) полной отчетности по портфелю на дату завершения транзитного периода в соответствии с соглашением о передаче части золотовалютных активов во внешнее транзитное управление;</w:t>
      </w:r>
    </w:p>
    <w:bookmarkEnd w:id="151"/>
    <w:bookmarkStart w:name="z158" w:id="152"/>
    <w:p>
      <w:pPr>
        <w:spacing w:after="0"/>
        <w:ind w:left="0"/>
        <w:jc w:val="both"/>
      </w:pPr>
      <w:r>
        <w:rPr>
          <w:rFonts w:ascii="Times New Roman"/>
          <w:b w:val="false"/>
          <w:i w:val="false"/>
          <w:color w:val="000000"/>
          <w:sz w:val="28"/>
        </w:rPr>
        <w:t>
      12) о подписании соглашения о передаче части золотовалютных активов во внешнее транзитное управление на казахском, русском языках и на языке, определенном по соглашению сторон;</w:t>
      </w:r>
    </w:p>
    <w:bookmarkEnd w:id="152"/>
    <w:bookmarkStart w:name="z159" w:id="153"/>
    <w:p>
      <w:pPr>
        <w:spacing w:after="0"/>
        <w:ind w:left="0"/>
        <w:jc w:val="both"/>
      </w:pPr>
      <w:r>
        <w:rPr>
          <w:rFonts w:ascii="Times New Roman"/>
          <w:b w:val="false"/>
          <w:i w:val="false"/>
          <w:color w:val="000000"/>
          <w:sz w:val="28"/>
        </w:rPr>
        <w:t xml:space="preserve">
      13) о возможности внесения изменений и (или) дополнений в соглашение о передаче части золотовалютных активов во внешнее транзитное управление по соглашению сторон. </w:t>
      </w:r>
    </w:p>
    <w:bookmarkEnd w:id="153"/>
    <w:bookmarkStart w:name="z160" w:id="154"/>
    <w:p>
      <w:pPr>
        <w:spacing w:after="0"/>
        <w:ind w:left="0"/>
        <w:jc w:val="both"/>
      </w:pPr>
      <w:r>
        <w:rPr>
          <w:rFonts w:ascii="Times New Roman"/>
          <w:b w:val="false"/>
          <w:i w:val="false"/>
          <w:color w:val="000000"/>
          <w:sz w:val="28"/>
        </w:rPr>
        <w:t>
      38. Национальный Банк в соответствии с соглашением о передаче части золотовалютных активов во внешнее транзитное управление осуществляет передачу части золотовалютных активов во внешнее транзитное управление путем перевода денег и (или) ценных бумаг на счета Национального Банка у банка (банков)-кастодиана (кастодианов), предназначенные для внешнего транзитного управления.</w:t>
      </w:r>
    </w:p>
    <w:bookmarkEnd w:id="154"/>
    <w:bookmarkStart w:name="z161" w:id="155"/>
    <w:p>
      <w:pPr>
        <w:spacing w:after="0"/>
        <w:ind w:left="0"/>
        <w:jc w:val="both"/>
      </w:pPr>
      <w:r>
        <w:rPr>
          <w:rFonts w:ascii="Times New Roman"/>
          <w:b w:val="false"/>
          <w:i w:val="false"/>
          <w:color w:val="000000"/>
          <w:sz w:val="28"/>
        </w:rPr>
        <w:t>
      Передача части золотовалютных активов внешнему транзитному управляющему осуществляется на срок не более 12 (двенадцать) месяцев.</w:t>
      </w:r>
    </w:p>
    <w:bookmarkEnd w:id="155"/>
    <w:bookmarkStart w:name="z162" w:id="156"/>
    <w:p>
      <w:pPr>
        <w:spacing w:after="0"/>
        <w:ind w:left="0"/>
        <w:jc w:val="both"/>
      </w:pPr>
      <w:r>
        <w:rPr>
          <w:rFonts w:ascii="Times New Roman"/>
          <w:b w:val="false"/>
          <w:i w:val="false"/>
          <w:color w:val="000000"/>
          <w:sz w:val="28"/>
        </w:rPr>
        <w:t>
      39. При передаче части золотовалютных активов во внешнее транзитное управление учитывается транзитный период для формирования портфеля в соответствии с целевыми параметрами, установленными Национальным Банком. Длительность транзитного периода не превышает 15 (пятнадцать) рабочих дней.</w:t>
      </w:r>
    </w:p>
    <w:bookmarkEnd w:id="156"/>
    <w:bookmarkStart w:name="z163" w:id="157"/>
    <w:p>
      <w:pPr>
        <w:spacing w:after="0"/>
        <w:ind w:left="0"/>
        <w:jc w:val="both"/>
      </w:pPr>
      <w:r>
        <w:rPr>
          <w:rFonts w:ascii="Times New Roman"/>
          <w:b w:val="false"/>
          <w:i w:val="false"/>
          <w:color w:val="000000"/>
          <w:sz w:val="28"/>
        </w:rPr>
        <w:t>
      40. Часть золотовалютных активов, передаваемая во внешнее транзитное управление, хранится на счетах Национального Банка в банке (банках)-кастодиане (кастодианах) и на маржевом счете у клирингового брокера. Допускается размещение золотовалютных активов на маржевом счете внешнего транзитного управляющего, открытом у третьего лица, при наличии соглашения между Национальным Банком и внешним транзитным управляющим об условиях проведения операций по такому счету или условий проведения операций по такому счету в соглашении о передаче части золотовалютных активов во внешнее транзитное управление.</w:t>
      </w:r>
    </w:p>
    <w:bookmarkEnd w:id="157"/>
    <w:bookmarkStart w:name="z164" w:id="158"/>
    <w:p>
      <w:pPr>
        <w:spacing w:after="0"/>
        <w:ind w:left="0"/>
        <w:jc w:val="both"/>
      </w:pPr>
      <w:r>
        <w:rPr>
          <w:rFonts w:ascii="Times New Roman"/>
          <w:b w:val="false"/>
          <w:i w:val="false"/>
          <w:color w:val="000000"/>
          <w:sz w:val="28"/>
        </w:rPr>
        <w:t>
      41. Со дня передачи части золотовалютных активов во внешнее транзитное управление уполномоченное подразделение проводит ежедневный мониторинг деятельности внешнего транзитного управляющего путем проверки соблюдения ограничений, указанных в соглашении о передаче части золотовалютных активов во внешнее транзитное управление, осуществления мониторинга сделок, совершаемых внешним транзитным управляющим.</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части золотовалютных активов</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во внешнее управление</w:t>
            </w:r>
          </w:p>
        </w:tc>
      </w:tr>
    </w:tbl>
    <w:bookmarkStart w:name="z166" w:id="159"/>
    <w:p>
      <w:pPr>
        <w:spacing w:after="0"/>
        <w:ind w:left="0"/>
        <w:jc w:val="left"/>
      </w:pPr>
      <w:r>
        <w:rPr>
          <w:rFonts w:ascii="Times New Roman"/>
          <w:b/>
          <w:i w:val="false"/>
          <w:color w:val="000000"/>
        </w:rPr>
        <w:t xml:space="preserve"> Минимальная информация,</w:t>
      </w:r>
      <w:r>
        <w:br/>
      </w:r>
      <w:r>
        <w:rPr>
          <w:rFonts w:ascii="Times New Roman"/>
          <w:b/>
          <w:i w:val="false"/>
          <w:color w:val="000000"/>
        </w:rPr>
        <w:t>запрашиваемая у потенциального внешнего управляющего</w:t>
      </w:r>
    </w:p>
    <w:bookmarkEnd w:id="159"/>
    <w:bookmarkStart w:name="z167" w:id="160"/>
    <w:p>
      <w:pPr>
        <w:spacing w:after="0"/>
        <w:ind w:left="0"/>
        <w:jc w:val="both"/>
      </w:pPr>
      <w:r>
        <w:rPr>
          <w:rFonts w:ascii="Times New Roman"/>
          <w:b w:val="false"/>
          <w:i w:val="false"/>
          <w:color w:val="000000"/>
          <w:sz w:val="28"/>
        </w:rPr>
        <w:t>
      1. Опыт работы потенциального внешнего управляющего по рассматриваемому типу мандата.</w:t>
      </w:r>
    </w:p>
    <w:bookmarkEnd w:id="160"/>
    <w:bookmarkStart w:name="z168" w:id="161"/>
    <w:p>
      <w:pPr>
        <w:spacing w:after="0"/>
        <w:ind w:left="0"/>
        <w:jc w:val="both"/>
      </w:pPr>
      <w:r>
        <w:rPr>
          <w:rFonts w:ascii="Times New Roman"/>
          <w:b w:val="false"/>
          <w:i w:val="false"/>
          <w:color w:val="000000"/>
          <w:sz w:val="28"/>
        </w:rPr>
        <w:t>
      2. Объем активов клиентов, находящихся (находившихся) в управлении потенциального внешнего управляющего за последние 5 (пять) лет, в том числе:</w:t>
      </w:r>
    </w:p>
    <w:bookmarkEnd w:id="161"/>
    <w:bookmarkStart w:name="z169" w:id="162"/>
    <w:p>
      <w:pPr>
        <w:spacing w:after="0"/>
        <w:ind w:left="0"/>
        <w:jc w:val="both"/>
      </w:pPr>
      <w:r>
        <w:rPr>
          <w:rFonts w:ascii="Times New Roman"/>
          <w:b w:val="false"/>
          <w:i w:val="false"/>
          <w:color w:val="000000"/>
          <w:sz w:val="28"/>
        </w:rPr>
        <w:t>
      1) объем общих активов, находящихся (находившихся) в управлении;</w:t>
      </w:r>
    </w:p>
    <w:bookmarkEnd w:id="162"/>
    <w:bookmarkStart w:name="z170" w:id="163"/>
    <w:p>
      <w:pPr>
        <w:spacing w:after="0"/>
        <w:ind w:left="0"/>
        <w:jc w:val="both"/>
      </w:pPr>
      <w:r>
        <w:rPr>
          <w:rFonts w:ascii="Times New Roman"/>
          <w:b w:val="false"/>
          <w:i w:val="false"/>
          <w:color w:val="000000"/>
          <w:sz w:val="28"/>
        </w:rPr>
        <w:t xml:space="preserve">
      2) объем активов по рассматриваемому типу мандата; </w:t>
      </w:r>
    </w:p>
    <w:bookmarkEnd w:id="163"/>
    <w:bookmarkStart w:name="z171" w:id="164"/>
    <w:p>
      <w:pPr>
        <w:spacing w:after="0"/>
        <w:ind w:left="0"/>
        <w:jc w:val="both"/>
      </w:pPr>
      <w:r>
        <w:rPr>
          <w:rFonts w:ascii="Times New Roman"/>
          <w:b w:val="false"/>
          <w:i w:val="false"/>
          <w:color w:val="000000"/>
          <w:sz w:val="28"/>
        </w:rPr>
        <w:t>
      3) объем активов институциональных клиентов (включая активы центральных банков);</w:t>
      </w:r>
    </w:p>
    <w:bookmarkEnd w:id="164"/>
    <w:bookmarkStart w:name="z172" w:id="165"/>
    <w:p>
      <w:pPr>
        <w:spacing w:after="0"/>
        <w:ind w:left="0"/>
        <w:jc w:val="both"/>
      </w:pPr>
      <w:r>
        <w:rPr>
          <w:rFonts w:ascii="Times New Roman"/>
          <w:b w:val="false"/>
          <w:i w:val="false"/>
          <w:color w:val="000000"/>
          <w:sz w:val="28"/>
        </w:rPr>
        <w:t>
      4) объем активов по сегрегированным счетам.</w:t>
      </w:r>
    </w:p>
    <w:bookmarkEnd w:id="165"/>
    <w:bookmarkStart w:name="z173" w:id="166"/>
    <w:p>
      <w:pPr>
        <w:spacing w:after="0"/>
        <w:ind w:left="0"/>
        <w:jc w:val="both"/>
      </w:pPr>
      <w:r>
        <w:rPr>
          <w:rFonts w:ascii="Times New Roman"/>
          <w:b w:val="false"/>
          <w:i w:val="false"/>
          <w:color w:val="000000"/>
          <w:sz w:val="28"/>
        </w:rPr>
        <w:t xml:space="preserve">
      3. Информация о портфельных менеджерах и менеджерах по связям с клиентами, которые будут ответственными за активы, переданные во внешнее управление. </w:t>
      </w:r>
    </w:p>
    <w:bookmarkEnd w:id="166"/>
    <w:bookmarkStart w:name="z174" w:id="167"/>
    <w:p>
      <w:pPr>
        <w:spacing w:after="0"/>
        <w:ind w:left="0"/>
        <w:jc w:val="both"/>
      </w:pPr>
      <w:r>
        <w:rPr>
          <w:rFonts w:ascii="Times New Roman"/>
          <w:b w:val="false"/>
          <w:i w:val="false"/>
          <w:color w:val="000000"/>
          <w:sz w:val="28"/>
        </w:rPr>
        <w:t xml:space="preserve">
      4. Информация о передвижении персонала за последние 10 (десять) лет среди сотрудников инвестиционного блока потенциального внешнего управляющего (портфельные менеджеры, аналитики и трейдеры). </w:t>
      </w:r>
    </w:p>
    <w:bookmarkEnd w:id="167"/>
    <w:bookmarkStart w:name="z175" w:id="168"/>
    <w:p>
      <w:pPr>
        <w:spacing w:after="0"/>
        <w:ind w:left="0"/>
        <w:jc w:val="both"/>
      </w:pPr>
      <w:r>
        <w:rPr>
          <w:rFonts w:ascii="Times New Roman"/>
          <w:b w:val="false"/>
          <w:i w:val="false"/>
          <w:color w:val="000000"/>
          <w:sz w:val="28"/>
        </w:rPr>
        <w:t xml:space="preserve">
      5. Подробное описание инвестиционного процесса, методов управления портфелем, исследования рынка, используемых источников информаций и модели оценки финансовых инструментов. </w:t>
      </w:r>
    </w:p>
    <w:bookmarkEnd w:id="168"/>
    <w:bookmarkStart w:name="z176" w:id="169"/>
    <w:p>
      <w:pPr>
        <w:spacing w:after="0"/>
        <w:ind w:left="0"/>
        <w:jc w:val="both"/>
      </w:pPr>
      <w:r>
        <w:rPr>
          <w:rFonts w:ascii="Times New Roman"/>
          <w:b w:val="false"/>
          <w:i w:val="false"/>
          <w:color w:val="000000"/>
          <w:sz w:val="28"/>
        </w:rPr>
        <w:t xml:space="preserve">
      6. Каким образом осуществляется моделирование, мониторинг и управление активным рыночным риском (в случае, если рассматриваемый тип мандата относится к активному управлению). </w:t>
      </w:r>
    </w:p>
    <w:bookmarkEnd w:id="169"/>
    <w:bookmarkStart w:name="z177" w:id="170"/>
    <w:p>
      <w:pPr>
        <w:spacing w:after="0"/>
        <w:ind w:left="0"/>
        <w:jc w:val="both"/>
      </w:pPr>
      <w:r>
        <w:rPr>
          <w:rFonts w:ascii="Times New Roman"/>
          <w:b w:val="false"/>
          <w:i w:val="false"/>
          <w:color w:val="000000"/>
          <w:sz w:val="28"/>
        </w:rPr>
        <w:t xml:space="preserve">
      7. Наличие специализированного программного обеспечения по мониторингу и управлению рисками. </w:t>
      </w:r>
    </w:p>
    <w:bookmarkEnd w:id="170"/>
    <w:bookmarkStart w:name="z178" w:id="171"/>
    <w:p>
      <w:pPr>
        <w:spacing w:after="0"/>
        <w:ind w:left="0"/>
        <w:jc w:val="both"/>
      </w:pPr>
      <w:r>
        <w:rPr>
          <w:rFonts w:ascii="Times New Roman"/>
          <w:b w:val="false"/>
          <w:i w:val="false"/>
          <w:color w:val="000000"/>
          <w:sz w:val="28"/>
        </w:rPr>
        <w:t>
      8. Исторические результаты управления портфелем по аналогичному мандату за последние 5 (пять) лет с аналогичным или близким по типу эталонным портфелем.</w:t>
      </w:r>
    </w:p>
    <w:bookmarkEnd w:id="171"/>
    <w:bookmarkStart w:name="z179" w:id="172"/>
    <w:p>
      <w:pPr>
        <w:spacing w:after="0"/>
        <w:ind w:left="0"/>
        <w:jc w:val="both"/>
      </w:pPr>
      <w:r>
        <w:rPr>
          <w:rFonts w:ascii="Times New Roman"/>
          <w:b w:val="false"/>
          <w:i w:val="false"/>
          <w:color w:val="000000"/>
          <w:sz w:val="28"/>
        </w:rPr>
        <w:t xml:space="preserve">
      9. Описание программного обеспечения, используемого для расчета доходности, риска, применяемого в финансовой и аналитической отчетности. </w:t>
      </w:r>
    </w:p>
    <w:bookmarkEnd w:id="172"/>
    <w:bookmarkStart w:name="z180" w:id="173"/>
    <w:p>
      <w:pPr>
        <w:spacing w:after="0"/>
        <w:ind w:left="0"/>
        <w:jc w:val="both"/>
      </w:pPr>
      <w:r>
        <w:rPr>
          <w:rFonts w:ascii="Times New Roman"/>
          <w:b w:val="false"/>
          <w:i w:val="false"/>
          <w:color w:val="000000"/>
          <w:sz w:val="28"/>
        </w:rPr>
        <w:t xml:space="preserve">
      10. Краткое описание внутреннего корпоративного управления. </w:t>
      </w:r>
    </w:p>
    <w:bookmarkEnd w:id="173"/>
    <w:bookmarkStart w:name="z181" w:id="174"/>
    <w:p>
      <w:pPr>
        <w:spacing w:after="0"/>
        <w:ind w:left="0"/>
        <w:jc w:val="both"/>
      </w:pPr>
      <w:r>
        <w:rPr>
          <w:rFonts w:ascii="Times New Roman"/>
          <w:b w:val="false"/>
          <w:i w:val="false"/>
          <w:color w:val="000000"/>
          <w:sz w:val="28"/>
        </w:rPr>
        <w:t xml:space="preserve">
      11. Ответственность внешнего управляющего перед Национальным Банком в случае нарушения условий соглашения о передаче части золотовалютных активов во внешнее управление, в т.ч. ответственность за нарушение лимита ожидаемой изменчивости отклонения доходности (ex-ante tracking error), установленного Инвестиционной стратегией по управлению золотовалютными активами, и за возможные убытки, причиненные Национальному Банку вследствие небрежности, преднамеренного невыполнения обязательств или мошенничества со стороны внешнего управляющего. </w:t>
      </w:r>
    </w:p>
    <w:bookmarkEnd w:id="174"/>
    <w:bookmarkStart w:name="z182" w:id="175"/>
    <w:p>
      <w:pPr>
        <w:spacing w:after="0"/>
        <w:ind w:left="0"/>
        <w:jc w:val="both"/>
      </w:pPr>
      <w:r>
        <w:rPr>
          <w:rFonts w:ascii="Times New Roman"/>
          <w:b w:val="false"/>
          <w:i w:val="false"/>
          <w:color w:val="000000"/>
          <w:sz w:val="28"/>
        </w:rPr>
        <w:t xml:space="preserve">
      12. Информацию о видах страхования используемых для защиты клиента от ошибок внешнего управляющего. </w:t>
      </w:r>
    </w:p>
    <w:bookmarkEnd w:id="175"/>
    <w:bookmarkStart w:name="z183" w:id="176"/>
    <w:p>
      <w:pPr>
        <w:spacing w:after="0"/>
        <w:ind w:left="0"/>
        <w:jc w:val="both"/>
      </w:pPr>
      <w:r>
        <w:rPr>
          <w:rFonts w:ascii="Times New Roman"/>
          <w:b w:val="false"/>
          <w:i w:val="false"/>
          <w:color w:val="000000"/>
          <w:sz w:val="28"/>
        </w:rPr>
        <w:t xml:space="preserve">
      13. Условия организации обучения. </w:t>
      </w:r>
    </w:p>
    <w:bookmarkEnd w:id="176"/>
    <w:bookmarkStart w:name="z184" w:id="177"/>
    <w:p>
      <w:pPr>
        <w:spacing w:after="0"/>
        <w:ind w:left="0"/>
        <w:jc w:val="both"/>
      </w:pPr>
      <w:r>
        <w:rPr>
          <w:rFonts w:ascii="Times New Roman"/>
          <w:b w:val="false"/>
          <w:i w:val="false"/>
          <w:color w:val="000000"/>
          <w:sz w:val="28"/>
        </w:rPr>
        <w:t>
      14. Информация о предполагаемом уровне комиссионного вознаграждения за внешнее управление.</w:t>
      </w:r>
    </w:p>
    <w:bookmarkEnd w:id="177"/>
    <w:bookmarkStart w:name="z185" w:id="178"/>
    <w:p>
      <w:pPr>
        <w:spacing w:after="0"/>
        <w:ind w:left="0"/>
        <w:jc w:val="both"/>
      </w:pPr>
      <w:r>
        <w:rPr>
          <w:rFonts w:ascii="Times New Roman"/>
          <w:b w:val="false"/>
          <w:i w:val="false"/>
          <w:color w:val="000000"/>
          <w:sz w:val="28"/>
        </w:rPr>
        <w:t>
      15. Аудированный финансовый отчет потенциального внешнего управляющего за последний финансовый год.</w:t>
      </w:r>
    </w:p>
    <w:bookmarkEnd w:id="178"/>
    <w:bookmarkStart w:name="z186" w:id="179"/>
    <w:p>
      <w:pPr>
        <w:spacing w:after="0"/>
        <w:ind w:left="0"/>
        <w:jc w:val="both"/>
      </w:pPr>
      <w:r>
        <w:rPr>
          <w:rFonts w:ascii="Times New Roman"/>
          <w:b w:val="false"/>
          <w:i w:val="false"/>
          <w:color w:val="000000"/>
          <w:sz w:val="28"/>
        </w:rPr>
        <w:t xml:space="preserve">
      16. Внутренние политики и процедуры внешнего управляющего, регламентирующие вопросы снижения риска злоупотреблений и конфликта интересов, в том числе обеспечение равноправного и справедливого распределения сделок среди портфелей клиентов, проверка списка и процедуры утверждения брокеров, агентов и контрпартнеров внешнего управляющего. </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части золотовалютных активов</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во внешнее управление</w:t>
            </w:r>
          </w:p>
        </w:tc>
      </w:tr>
    </w:tbl>
    <w:bookmarkStart w:name="z188" w:id="180"/>
    <w:p>
      <w:pPr>
        <w:spacing w:after="0"/>
        <w:ind w:left="0"/>
        <w:jc w:val="left"/>
      </w:pPr>
      <w:r>
        <w:rPr>
          <w:rFonts w:ascii="Times New Roman"/>
          <w:b/>
          <w:i w:val="false"/>
          <w:color w:val="000000"/>
        </w:rPr>
        <w:t xml:space="preserve"> Оценочные критерии для осуществления сравнительного анализа предложений потенциальных внешних управляющих</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присваиваемый критериям (значимость показателя определена в процентах)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результаты управления портфелем (при осуществлении сравнительного анализа предложений потенциальных внешних управляющих, специализирующихся на региональных мандатах и участвующих в выборе управляющего по глобальному мандату, показатели нормируются в зависимости от охвата соответствующего мандата)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геометрическая сверхдоходность за последние 3 (три) – 5 (пять) лет (в случае если показатель сверхдоходности за период менее 5 (пять) лет положительный, показатель нормируется относительно периода в 5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арифметический показатель информационного коэффициента за последние 3 (три) - 5 (пять) лет (в случае если показатель информационного коэффициента за период менее 5 (пять) лет положительный, показатель нормируется относительно периода в 5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процентов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сотрудников в структуре капитала организации (employee owned)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среднегодовое изменение (в процентах) активов под управлением</w:t>
            </w:r>
          </w:p>
          <w:bookmarkEnd w:id="181"/>
          <w:p>
            <w:pPr>
              <w:spacing w:after="20"/>
              <w:ind w:left="20"/>
              <w:jc w:val="both"/>
            </w:pPr>
            <w:r>
              <w:rPr>
                <w:rFonts w:ascii="Times New Roman"/>
                <w:b w:val="false"/>
                <w:i w:val="false"/>
                <w:color w:val="000000"/>
                <w:sz w:val="20"/>
              </w:rPr>
              <w:t>
(оттоки и притоки за последние 3 (три) - 5 (пять) лет или с начала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объема активов по данному рассматриваемому мандату к общим активам под управлением (при осуществлении сравнительного анализа предложений потенциальных внешних управляющих, специализирующихся на региональных мандатах и участвующих в выборе управляющего по глобальному мандату, используется объем активов по региональным мандатам. Данное значение нормируется в зависимости от охвата соответствующего мандата)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объема активов институциональных инвесторов к общим активам под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опыт работы портфельных менеджеров и аналитиков, ответственных за управление активами по соответствующему мандату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передвижение персонала среди сотрудников инвестиционного блока (портфельные менеджеры, аналитики, трейдеры) в целом по компании (учитывается наименьшее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вида страхования интересов клиентов от действий или бездействий внешнего управляющего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комиссионного вознаграждения за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базового комиссионного вознаграждения (учитывается наименьшее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принципа выплаты комиссионного вознаграждения по результатам внешнего управления в случае достижения положительной сверхдоходности, превышающей аналогичные показатели за прошлые периоды со дня начала управления внешним управляющим (net new high basis since inception)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условия по минимальному порогу сверхдоходности, с которого начинается расчет комиссионного вознаграждения по результатам внешнего управления, не ниже базового комиссионного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установления условия оплаты комиссионного вознаграждения по результатам внешнего управления в течение нескольких лет по частям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работников Национального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обучение продолжительностью 1 (одну) – 2 (две) недели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возможности прохождения стажировки и (или) секондмента продолжительностью от 1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r>
    </w:tbl>
    <w:bookmarkStart w:name="z190" w:id="182"/>
    <w:p>
      <w:pPr>
        <w:spacing w:after="0"/>
        <w:ind w:left="0"/>
        <w:jc w:val="both"/>
      </w:pPr>
      <w:r>
        <w:rPr>
          <w:rFonts w:ascii="Times New Roman"/>
          <w:b w:val="false"/>
          <w:i w:val="false"/>
          <w:color w:val="000000"/>
          <w:sz w:val="28"/>
        </w:rPr>
        <w:t>
      Примечание:</w:t>
      </w:r>
    </w:p>
    <w:bookmarkEnd w:id="182"/>
    <w:bookmarkStart w:name="z191" w:id="183"/>
    <w:p>
      <w:pPr>
        <w:spacing w:after="0"/>
        <w:ind w:left="0"/>
        <w:jc w:val="both"/>
      </w:pPr>
      <w:r>
        <w:rPr>
          <w:rFonts w:ascii="Times New Roman"/>
          <w:b w:val="false"/>
          <w:i w:val="false"/>
          <w:color w:val="000000"/>
          <w:sz w:val="28"/>
        </w:rPr>
        <w:t xml:space="preserve">
      1. Оценкой предложения потенциального внешнего управляющего служит сумма баллов по всем оценочным критериям в соответствии с их значимостью. </w:t>
      </w:r>
    </w:p>
    <w:bookmarkEnd w:id="183"/>
    <w:bookmarkStart w:name="z192" w:id="184"/>
    <w:p>
      <w:pPr>
        <w:spacing w:after="0"/>
        <w:ind w:left="0"/>
        <w:jc w:val="both"/>
      </w:pPr>
      <w:r>
        <w:rPr>
          <w:rFonts w:ascii="Times New Roman"/>
          <w:b w:val="false"/>
          <w:i w:val="false"/>
          <w:color w:val="000000"/>
          <w:sz w:val="28"/>
        </w:rPr>
        <w:t>
      2. Для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w:t>
      </w:r>
    </w:p>
    <w:bookmarkEnd w:id="184"/>
    <w:bookmarkStart w:name="z193" w:id="185"/>
    <w:p>
      <w:pPr>
        <w:spacing w:after="0"/>
        <w:ind w:left="0"/>
        <w:jc w:val="both"/>
      </w:pPr>
      <w:r>
        <w:rPr>
          <w:rFonts w:ascii="Times New Roman"/>
          <w:b w:val="false"/>
          <w:i w:val="false"/>
          <w:color w:val="000000"/>
          <w:sz w:val="28"/>
        </w:rPr>
        <w:t>
      При этом нормированный показатель потенциального внешнего управляющего – это отношение показателя внешнего управляющего к максимальному значению показателя по рассматриваемому критерию.</w:t>
      </w:r>
    </w:p>
    <w:bookmarkEnd w:id="185"/>
    <w:bookmarkStart w:name="z194" w:id="186"/>
    <w:p>
      <w:pPr>
        <w:spacing w:after="0"/>
        <w:ind w:left="0"/>
        <w:jc w:val="both"/>
      </w:pPr>
      <w:r>
        <w:rPr>
          <w:rFonts w:ascii="Times New Roman"/>
          <w:b w:val="false"/>
          <w:i w:val="false"/>
          <w:color w:val="000000"/>
          <w:sz w:val="28"/>
        </w:rPr>
        <w:t>
      3. Если внешний управляющий управляет активами по объявленному мандату в рамках другого мандата, осуществляется оценка результатов управления данными активами в рамках другого мандата.</w:t>
      </w:r>
    </w:p>
    <w:bookmarkEnd w:id="186"/>
    <w:bookmarkStart w:name="z195" w:id="187"/>
    <w:p>
      <w:pPr>
        <w:spacing w:after="0"/>
        <w:ind w:left="0"/>
        <w:jc w:val="both"/>
      </w:pPr>
      <w:r>
        <w:rPr>
          <w:rFonts w:ascii="Times New Roman"/>
          <w:b w:val="false"/>
          <w:i w:val="false"/>
          <w:color w:val="000000"/>
          <w:sz w:val="28"/>
        </w:rPr>
        <w:t xml:space="preserve">
      4. При оценке обучения специалистов Национального Банка используется следующая система показателей: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(условия обучения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присваиваемый показателю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перелет, проживание, питание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проживание, питание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управляющий оплачивает проживание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части золотовалютных активов</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во внешнее управление</w:t>
            </w:r>
          </w:p>
        </w:tc>
      </w:tr>
    </w:tbl>
    <w:bookmarkStart w:name="z197" w:id="188"/>
    <w:p>
      <w:pPr>
        <w:spacing w:after="0"/>
        <w:ind w:left="0"/>
        <w:jc w:val="left"/>
      </w:pPr>
      <w:r>
        <w:rPr>
          <w:rFonts w:ascii="Times New Roman"/>
          <w:b/>
          <w:i w:val="false"/>
          <w:color w:val="000000"/>
        </w:rPr>
        <w:t xml:space="preserve"> Оценочные критерии для осуществления сравнительного анализа предложений потенциальных внешних управляющих из</w:t>
      </w:r>
      <w:r>
        <w:br/>
      </w:r>
      <w:r>
        <w:rPr>
          <w:rFonts w:ascii="Times New Roman"/>
          <w:b/>
          <w:i w:val="false"/>
          <w:color w:val="000000"/>
        </w:rPr>
        <w:t>короткого списка в рамках инвестиционного и операционного дью-дилидженса</w:t>
      </w:r>
    </w:p>
    <w:bookmarkEnd w:id="188"/>
    <w:bookmarkStart w:name="z198" w:id="189"/>
    <w:p>
      <w:pPr>
        <w:spacing w:after="0"/>
        <w:ind w:left="0"/>
        <w:jc w:val="left"/>
      </w:pPr>
      <w:r>
        <w:rPr>
          <w:rFonts w:ascii="Times New Roman"/>
          <w:b/>
          <w:i w:val="false"/>
          <w:color w:val="000000"/>
        </w:rPr>
        <w:t xml:space="preserve"> Таблица 1. Количественный анализ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присваиваемые критериям (значимость показателей определены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Усовершенствованное индексное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Пассивное (индексное) управление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исторической доходности с учетом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годовая геометрическая сверхдоходность за последние 3 (три) – 5 (пять) лет</w:t>
            </w:r>
          </w:p>
          <w:bookmarkEnd w:id="190"/>
          <w:p>
            <w:pPr>
              <w:spacing w:after="20"/>
              <w:ind w:left="20"/>
              <w:jc w:val="both"/>
            </w:pPr>
            <w:r>
              <w:rPr>
                <w:rFonts w:ascii="Times New Roman"/>
                <w:b w:val="false"/>
                <w:i w:val="false"/>
                <w:color w:val="000000"/>
                <w:sz w:val="20"/>
              </w:rPr>
              <w:t>
(в случае если показатель сверхдоходности за период менее 5 (пяти) лет положительный, показатель нормируется относительно периода в 5 (пять)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средний арифметический показатель информационного коэффициента за последние 3 (три) - 5 (пять) лет</w:t>
            </w:r>
          </w:p>
          <w:bookmarkEnd w:id="191"/>
          <w:p>
            <w:pPr>
              <w:spacing w:after="20"/>
              <w:ind w:left="20"/>
              <w:jc w:val="both"/>
            </w:pPr>
            <w:r>
              <w:rPr>
                <w:rFonts w:ascii="Times New Roman"/>
                <w:b w:val="false"/>
                <w:i w:val="false"/>
                <w:color w:val="000000"/>
                <w:sz w:val="20"/>
              </w:rPr>
              <w:t>
(в случае если показатель сверхдоходности за период менее 5 (пяти) лет положительный, показатель нормируется относительно периода в 5 (пять)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Шарпа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Сортино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 стабильность исторических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Уровень изменчивости отклонения доходности</w:t>
            </w:r>
          </w:p>
          <w:bookmarkEnd w:id="192"/>
          <w:p>
            <w:pPr>
              <w:spacing w:after="20"/>
              <w:ind w:left="20"/>
              <w:jc w:val="both"/>
            </w:pPr>
            <w:r>
              <w:rPr>
                <w:rFonts w:ascii="Times New Roman"/>
                <w:b w:val="false"/>
                <w:i w:val="false"/>
                <w:color w:val="000000"/>
                <w:sz w:val="20"/>
              </w:rPr>
              <w:t>
(tracking error)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превышения эталона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эксцесса (kurtosis)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Размах показателя сверхдоходности (абсолютный)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превышения результатов портфеля против эталона (в месяцах)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риска снижения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Изменчивость отклонения доходности</w:t>
            </w:r>
          </w:p>
          <w:bookmarkEnd w:id="193"/>
          <w:p>
            <w:pPr>
              <w:spacing w:after="20"/>
              <w:ind w:left="20"/>
              <w:jc w:val="both"/>
            </w:pPr>
            <w:r>
              <w:rPr>
                <w:rFonts w:ascii="Times New Roman"/>
                <w:b w:val="false"/>
                <w:i w:val="false"/>
                <w:color w:val="000000"/>
                <w:sz w:val="20"/>
              </w:rPr>
              <w:t>
(tracking error) ниже минимального порогового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убыток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неудовлетворительных результатов портфеля против эталона (в месяцах)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Максимальный убыток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падение стоимости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восстановления результатов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r>
    </w:tbl>
    <w:bookmarkStart w:name="z203" w:id="194"/>
    <w:p>
      <w:pPr>
        <w:spacing w:after="0"/>
        <w:ind w:left="0"/>
        <w:jc w:val="left"/>
      </w:pPr>
      <w:r>
        <w:rPr>
          <w:rFonts w:ascii="Times New Roman"/>
          <w:b/>
          <w:i w:val="false"/>
          <w:color w:val="000000"/>
        </w:rPr>
        <w:t xml:space="preserve"> Таблица 2. Качественный анализ</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(неудовлетворительно)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1.Инвестиционный процесс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инвестиционного портфеля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соответствующих ограничений и лимитов инвестиционной стратегии предлагаемого инвестиционного продукта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аналитических исследований и внедрение инвестиционных идей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результатов управления портфелем на соответствие заявленному стилю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1.2.Процесс принятия решений по покупке или продаже финансовых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принятия решений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понятной и последовательной дисциплины при продаже финансовых инструментов, а также процедур по установлению ограничений убытков (stop-loss)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2.Внутренние процедуры контроля и мониторинга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Процесс управления рисками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порядок или регламент работы внешнего управляющего по управлению рисками портфеля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программного обеспечения по управлению и мониторингу рисками портфеля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2.2.Процесс осуществления торговых сделок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политики наилучшего исполнения сделок (Best Execution Policy), включая процедуру выбора и утверждения контрпартнеров и торговых площадок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процедур комплаенса и осуществления сверки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сделке с ценными бумагами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5"/>
    <w:p>
      <w:pPr>
        <w:spacing w:after="0"/>
        <w:ind w:left="0"/>
        <w:jc w:val="both"/>
      </w:pPr>
      <w:r>
        <w:rPr>
          <w:rFonts w:ascii="Times New Roman"/>
          <w:b w:val="false"/>
          <w:i w:val="false"/>
          <w:color w:val="000000"/>
          <w:sz w:val="28"/>
        </w:rPr>
        <w:t>
      Примечание:</w:t>
      </w:r>
    </w:p>
    <w:bookmarkEnd w:id="195"/>
    <w:bookmarkStart w:name="z205" w:id="196"/>
    <w:p>
      <w:pPr>
        <w:spacing w:after="0"/>
        <w:ind w:left="0"/>
        <w:jc w:val="both"/>
      </w:pPr>
      <w:r>
        <w:rPr>
          <w:rFonts w:ascii="Times New Roman"/>
          <w:b w:val="false"/>
          <w:i w:val="false"/>
          <w:color w:val="000000"/>
          <w:sz w:val="28"/>
        </w:rPr>
        <w:t xml:space="preserve">
      1. Оценкой предложения потенциального внешнего управляющего из короткого списка служит сумма баллов по всем оценочным критериям, приведенным в </w:t>
      </w:r>
      <w:r>
        <w:rPr>
          <w:rFonts w:ascii="Times New Roman"/>
          <w:b w:val="false"/>
          <w:i w:val="false"/>
          <w:color w:val="000000"/>
          <w:sz w:val="28"/>
        </w:rPr>
        <w:t>таблице 1</w:t>
      </w:r>
      <w:r>
        <w:rPr>
          <w:rFonts w:ascii="Times New Roman"/>
          <w:b w:val="false"/>
          <w:i w:val="false"/>
          <w:color w:val="000000"/>
          <w:sz w:val="28"/>
        </w:rPr>
        <w:t xml:space="preserve"> в соответствии с их значимостью.</w:t>
      </w:r>
    </w:p>
    <w:bookmarkEnd w:id="196"/>
    <w:bookmarkStart w:name="z206" w:id="197"/>
    <w:p>
      <w:pPr>
        <w:spacing w:after="0"/>
        <w:ind w:left="0"/>
        <w:jc w:val="both"/>
      </w:pPr>
      <w:r>
        <w:rPr>
          <w:rFonts w:ascii="Times New Roman"/>
          <w:b w:val="false"/>
          <w:i w:val="false"/>
          <w:color w:val="000000"/>
          <w:sz w:val="28"/>
        </w:rPr>
        <w:t>
      2. Для целей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 из короткого списка. При этом, нормированный показатель – это отношение показателя внешнего управляющего из короткого списка к максимальному значению показателя по рассматриваемому критерию.</w:t>
      </w:r>
    </w:p>
    <w:bookmarkEnd w:id="197"/>
    <w:bookmarkStart w:name="z207" w:id="198"/>
    <w:p>
      <w:pPr>
        <w:spacing w:after="0"/>
        <w:ind w:left="0"/>
        <w:jc w:val="both"/>
      </w:pPr>
      <w:r>
        <w:rPr>
          <w:rFonts w:ascii="Times New Roman"/>
          <w:b w:val="false"/>
          <w:i w:val="false"/>
          <w:color w:val="000000"/>
          <w:sz w:val="28"/>
        </w:rPr>
        <w:t xml:space="preserve">
      3. При оценке инвестиционного процесса и внутренних процедур контроля и мониторинга потенциального внешнего управляющего в рамках качественного анализа, критерии которого приведены в </w:t>
      </w:r>
      <w:r>
        <w:rPr>
          <w:rFonts w:ascii="Times New Roman"/>
          <w:b w:val="false"/>
          <w:i w:val="false"/>
          <w:color w:val="000000"/>
          <w:sz w:val="28"/>
        </w:rPr>
        <w:t>таблице 2</w:t>
      </w:r>
      <w:r>
        <w:rPr>
          <w:rFonts w:ascii="Times New Roman"/>
          <w:b w:val="false"/>
          <w:i w:val="false"/>
          <w:color w:val="000000"/>
          <w:sz w:val="28"/>
        </w:rPr>
        <w:t>, используется следующая система показателей:</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присваиваемый показателю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процесс и (или) процедуры потенциального внешнего управляющего соответствуют заявленному статусу, понятны и могут быть легко интерпретированы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процесс и (или) процедуры потенциального внешнего управляющего не соответствуют заявленному статусу, приемлемы, однако имеются проблемы в части реализации решений внутри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части золотовалютных активов</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во внешнее управление</w:t>
            </w:r>
          </w:p>
        </w:tc>
      </w:tr>
    </w:tbl>
    <w:bookmarkStart w:name="z209" w:id="199"/>
    <w:p>
      <w:pPr>
        <w:spacing w:after="0"/>
        <w:ind w:left="0"/>
        <w:jc w:val="left"/>
      </w:pPr>
      <w:r>
        <w:rPr>
          <w:rFonts w:ascii="Times New Roman"/>
          <w:b/>
          <w:i w:val="false"/>
          <w:color w:val="000000"/>
        </w:rPr>
        <w:t xml:space="preserve"> Методика</w:t>
      </w:r>
      <w:r>
        <w:br/>
      </w:r>
      <w:r>
        <w:rPr>
          <w:rFonts w:ascii="Times New Roman"/>
          <w:b/>
          <w:i w:val="false"/>
          <w:color w:val="000000"/>
        </w:rPr>
        <w:t>оценки эффективности работы внешнего управляющего</w:t>
      </w:r>
    </w:p>
    <w:bookmarkEnd w:id="199"/>
    <w:bookmarkStart w:name="z210" w:id="200"/>
    <w:p>
      <w:pPr>
        <w:spacing w:after="0"/>
        <w:ind w:left="0"/>
        <w:jc w:val="both"/>
      </w:pPr>
      <w:r>
        <w:rPr>
          <w:rFonts w:ascii="Times New Roman"/>
          <w:b w:val="false"/>
          <w:i w:val="false"/>
          <w:color w:val="000000"/>
          <w:sz w:val="28"/>
        </w:rPr>
        <w:t>
      1. Оценка эффективности работы внешнего управляющего осуществляется путем присвоения баллов внешнему управляющему в соответствии с количественными и качественными показателями, предусмотренными настоящей Методикой.</w:t>
      </w:r>
    </w:p>
    <w:bookmarkEnd w:id="200"/>
    <w:bookmarkStart w:name="z211" w:id="201"/>
    <w:p>
      <w:pPr>
        <w:spacing w:after="0"/>
        <w:ind w:left="0"/>
        <w:jc w:val="both"/>
      </w:pPr>
      <w:r>
        <w:rPr>
          <w:rFonts w:ascii="Times New Roman"/>
          <w:b w:val="false"/>
          <w:i w:val="false"/>
          <w:color w:val="000000"/>
          <w:sz w:val="28"/>
        </w:rPr>
        <w:t>
      2. Количественные показатели:</w:t>
      </w:r>
    </w:p>
    <w:bookmarkEnd w:id="201"/>
    <w:bookmarkStart w:name="z212" w:id="202"/>
    <w:p>
      <w:pPr>
        <w:spacing w:after="0"/>
        <w:ind w:left="0"/>
        <w:jc w:val="both"/>
      </w:pPr>
      <w:r>
        <w:rPr>
          <w:rFonts w:ascii="Times New Roman"/>
          <w:b w:val="false"/>
          <w:i w:val="false"/>
          <w:color w:val="000000"/>
          <w:sz w:val="28"/>
        </w:rPr>
        <w:t xml:space="preserve">
      информационный коэффициент (Information ratio).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Информационный коэффициент</w:t>
            </w:r>
          </w:p>
          <w:bookmarkEnd w:id="203"/>
          <w:p>
            <w:pPr>
              <w:spacing w:after="20"/>
              <w:ind w:left="20"/>
              <w:jc w:val="both"/>
            </w:pPr>
            <w:r>
              <w:rPr>
                <w:rFonts w:ascii="Times New Roman"/>
                <w:b w:val="false"/>
                <w:i w:val="false"/>
                <w:color w:val="000000"/>
                <w:sz w:val="20"/>
              </w:rPr>
              <w:t>
(Information ratio)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балла</w:t>
            </w:r>
          </w:p>
        </w:tc>
      </w:tr>
    </w:tbl>
    <w:bookmarkStart w:name="z214" w:id="204"/>
    <w:p>
      <w:pPr>
        <w:spacing w:after="0"/>
        <w:ind w:left="0"/>
        <w:jc w:val="both"/>
      </w:pPr>
      <w:r>
        <w:rPr>
          <w:rFonts w:ascii="Times New Roman"/>
          <w:b w:val="false"/>
          <w:i w:val="false"/>
          <w:color w:val="000000"/>
          <w:sz w:val="28"/>
        </w:rPr>
        <w:t>
      3. Качественные показатели:</w:t>
      </w:r>
    </w:p>
    <w:bookmarkEnd w:id="204"/>
    <w:bookmarkStart w:name="z215" w:id="205"/>
    <w:p>
      <w:pPr>
        <w:spacing w:after="0"/>
        <w:ind w:left="0"/>
        <w:jc w:val="both"/>
      </w:pPr>
      <w:r>
        <w:rPr>
          <w:rFonts w:ascii="Times New Roman"/>
          <w:b w:val="false"/>
          <w:i w:val="false"/>
          <w:color w:val="000000"/>
          <w:sz w:val="28"/>
        </w:rPr>
        <w:t>
      1) передвижение персонала (Staff turnover).</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Передвижения персонала</w:t>
            </w:r>
          </w:p>
          <w:bookmarkEnd w:id="206"/>
          <w:p>
            <w:pPr>
              <w:spacing w:after="20"/>
              <w:ind w:left="20"/>
              <w:jc w:val="both"/>
            </w:pPr>
            <w:r>
              <w:rPr>
                <w:rFonts w:ascii="Times New Roman"/>
                <w:b w:val="false"/>
                <w:i w:val="false"/>
                <w:color w:val="000000"/>
                <w:sz w:val="20"/>
              </w:rPr>
              <w:t>
(Staff turnover) в процентах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r>
    </w:tbl>
    <w:bookmarkStart w:name="z217" w:id="207"/>
    <w:p>
      <w:pPr>
        <w:spacing w:after="0"/>
        <w:ind w:left="0"/>
        <w:jc w:val="both"/>
      </w:pPr>
      <w:r>
        <w:rPr>
          <w:rFonts w:ascii="Times New Roman"/>
          <w:b w:val="false"/>
          <w:i w:val="false"/>
          <w:color w:val="000000"/>
          <w:sz w:val="28"/>
        </w:rPr>
        <w:t>
      2) операционный риск (Operational risk).</w:t>
      </w:r>
    </w:p>
    <w:bookmarkEnd w:id="207"/>
    <w:bookmarkStart w:name="z218" w:id="208"/>
    <w:p>
      <w:pPr>
        <w:spacing w:after="0"/>
        <w:ind w:left="0"/>
        <w:jc w:val="both"/>
      </w:pPr>
      <w:r>
        <w:rPr>
          <w:rFonts w:ascii="Times New Roman"/>
          <w:b w:val="false"/>
          <w:i w:val="false"/>
          <w:color w:val="000000"/>
          <w:sz w:val="28"/>
        </w:rPr>
        <w:t>
      За каждый факт нарушения ограничений, предусмотренных инвестиционной стратегией, установленной для внешнего управляющего в соглашении о передачи части золотовалютных активов во внешнее управление, вследствие операционной ошибки из оценки отнимается 0,2 (ноль целых два десятых) балла.</w:t>
      </w:r>
    </w:p>
    <w:bookmarkEnd w:id="208"/>
    <w:bookmarkStart w:name="z219" w:id="209"/>
    <w:p>
      <w:pPr>
        <w:spacing w:after="0"/>
        <w:ind w:left="0"/>
        <w:jc w:val="both"/>
      </w:pPr>
      <w:r>
        <w:rPr>
          <w:rFonts w:ascii="Times New Roman"/>
          <w:b w:val="false"/>
          <w:i w:val="false"/>
          <w:color w:val="000000"/>
          <w:sz w:val="28"/>
        </w:rPr>
        <w:t>
      3) соблюдение деловой этики (compliance with a Code of Business Ethics).</w:t>
      </w:r>
    </w:p>
    <w:bookmarkEnd w:id="209"/>
    <w:bookmarkStart w:name="z220" w:id="210"/>
    <w:p>
      <w:pPr>
        <w:spacing w:after="0"/>
        <w:ind w:left="0"/>
        <w:jc w:val="both"/>
      </w:pPr>
      <w:r>
        <w:rPr>
          <w:rFonts w:ascii="Times New Roman"/>
          <w:b w:val="false"/>
          <w:i w:val="false"/>
          <w:color w:val="000000"/>
          <w:sz w:val="28"/>
        </w:rPr>
        <w:t>
      За каждый факт нарушения внешним управляющим деловой этики из оценки отнимается 0,5 (ноль целых пять десятых) балла.</w:t>
      </w:r>
    </w:p>
    <w:bookmarkEnd w:id="210"/>
    <w:bookmarkStart w:name="z221" w:id="211"/>
    <w:p>
      <w:pPr>
        <w:spacing w:after="0"/>
        <w:ind w:left="0"/>
        <w:jc w:val="both"/>
      </w:pPr>
      <w:r>
        <w:rPr>
          <w:rFonts w:ascii="Times New Roman"/>
          <w:b w:val="false"/>
          <w:i w:val="false"/>
          <w:color w:val="000000"/>
          <w:sz w:val="28"/>
        </w:rPr>
        <w:t>
      При систематическом несвоевременном исполнении поручений клиента из оценки отнимается 0,5 (ноль целых пять десятых) балла.</w:t>
      </w:r>
    </w:p>
    <w:bookmarkEnd w:id="211"/>
    <w:bookmarkStart w:name="z222" w:id="212"/>
    <w:p>
      <w:pPr>
        <w:spacing w:after="0"/>
        <w:ind w:left="0"/>
        <w:jc w:val="both"/>
      </w:pPr>
      <w:r>
        <w:rPr>
          <w:rFonts w:ascii="Times New Roman"/>
          <w:b w:val="false"/>
          <w:i w:val="false"/>
          <w:color w:val="000000"/>
          <w:sz w:val="28"/>
        </w:rPr>
        <w:t>
      4. Итоговая оценка эффективности рассчитывается как сумма баллов по количественным и качественным показателям.</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