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6777" w14:textId="e226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21 апреля 2020 года № 56. Зарегистрировано в Министерстве юстиции Республики Казахстан 27 апреля 2020 года № 20491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мая 2001 года № 655 "О договоре о доверительном управлении Национальным фондом Республики Казахстан", в целях обеспечения эффективности доверительного управления Национальным фондом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 (зарегистрировано в Реестре государственной регистрации нормативных правовых актов под № 4361)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инвестиционных операций Национального фонда Республики Казахстан,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Деятельность по доверительному управлению Фондом включает приобретение услуг Bloomberg L.P., Reuters (Eastern Europe) Limited и других информационных систем, предоставляющих данные о финансовых рынках.";</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"5. Активное управление активами – это вид управления, при котором значение изменчивости отклонения доходности портфеля (tracking error) превышает 2 (два) процента.";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26-2</w:t>
      </w:r>
      <w:r>
        <w:rPr>
          <w:rFonts w:ascii="Times New Roman"/>
          <w:b w:val="false"/>
          <w:i w:val="false"/>
          <w:color w:val="000000"/>
          <w:sz w:val="28"/>
        </w:rPr>
        <w:t xml:space="preserve"> и </w:t>
      </w:r>
      <w:r>
        <w:rPr>
          <w:rFonts w:ascii="Times New Roman"/>
          <w:b w:val="false"/>
          <w:i w:val="false"/>
          <w:color w:val="000000"/>
          <w:sz w:val="28"/>
        </w:rPr>
        <w:t>26-3</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"26-2. Переходный период – период, начиная с 2017 года, длительностью от 3 (трех) до 5 (пяти) лет, в течение которого осуществляется переход к новому целевому стратегическому распределению активов сберегательного портфеля.</w:t>
      </w:r>
    </w:p>
    <w:bookmarkEnd w:id="5"/>
    <w:bookmarkStart w:name="z13" w:id="6"/>
    <w:p>
      <w:pPr>
        <w:spacing w:after="0"/>
        <w:ind w:left="0"/>
        <w:jc w:val="both"/>
      </w:pPr>
      <w:r>
        <w:rPr>
          <w:rFonts w:ascii="Times New Roman"/>
          <w:b w:val="false"/>
          <w:i w:val="false"/>
          <w:color w:val="000000"/>
          <w:sz w:val="28"/>
        </w:rPr>
        <w:t>
      26-3. План перехода – ряд последовательных действий Национального Банка в течение переходного периода, направленных на приведение активов сберегательного портфеля к новому целевому стратегическому распределению.";</w:t>
      </w:r>
    </w:p>
    <w:bookmarkEnd w:id="6"/>
    <w:bookmarkStart w:name="z14" w:id="7"/>
    <w:p>
      <w:pPr>
        <w:spacing w:after="0"/>
        <w:ind w:left="0"/>
        <w:jc w:val="both"/>
      </w:pPr>
      <w:r>
        <w:rPr>
          <w:rFonts w:ascii="Times New Roman"/>
          <w:b w:val="false"/>
          <w:i w:val="false"/>
          <w:color w:val="000000"/>
          <w:sz w:val="28"/>
        </w:rPr>
        <w:t>
      дополнить пунктами 26-5, 26-6 и 26-7 следующего содержания:</w:t>
      </w:r>
    </w:p>
    <w:bookmarkEnd w:id="7"/>
    <w:bookmarkStart w:name="z15" w:id="8"/>
    <w:p>
      <w:pPr>
        <w:spacing w:after="0"/>
        <w:ind w:left="0"/>
        <w:jc w:val="both"/>
      </w:pPr>
      <w:r>
        <w:rPr>
          <w:rFonts w:ascii="Times New Roman"/>
          <w:b w:val="false"/>
          <w:i w:val="false"/>
          <w:color w:val="000000"/>
          <w:sz w:val="28"/>
        </w:rPr>
        <w:t>
      "26-5. Усовершенствованное индексное управление активами – вид управления, при котором значение изменчивости отклонения доходности (tracking error) составляет от 0,5 (ноль целых пять десятых) до 2 (двух) процентов включительно. При усовершенствованном индексном управлении активами предполагается умеренное отклонение от основных показателей эталонного портфеля.</w:t>
      </w:r>
    </w:p>
    <w:bookmarkEnd w:id="8"/>
    <w:bookmarkStart w:name="z16" w:id="9"/>
    <w:p>
      <w:pPr>
        <w:spacing w:after="0"/>
        <w:ind w:left="0"/>
        <w:jc w:val="both"/>
      </w:pPr>
      <w:r>
        <w:rPr>
          <w:rFonts w:ascii="Times New Roman"/>
          <w:b w:val="false"/>
          <w:i w:val="false"/>
          <w:color w:val="000000"/>
          <w:sz w:val="28"/>
        </w:rPr>
        <w:t>
      26-6. Управленческий контроль - возможность одного юридического лица прямо и (или) косвенно определять решения и (или) оказывать влияние на решения, принимаемые другим юридическим лицом, в связи с участием (владением) в таком юридическом лице.</w:t>
      </w:r>
    </w:p>
    <w:bookmarkEnd w:id="9"/>
    <w:bookmarkStart w:name="z17" w:id="10"/>
    <w:p>
      <w:pPr>
        <w:spacing w:after="0"/>
        <w:ind w:left="0"/>
        <w:jc w:val="both"/>
      </w:pPr>
      <w:r>
        <w:rPr>
          <w:rFonts w:ascii="Times New Roman"/>
          <w:b w:val="false"/>
          <w:i w:val="false"/>
          <w:color w:val="000000"/>
          <w:sz w:val="28"/>
        </w:rPr>
        <w:t>
      26-7. Группа компаний – юридические лица, вместе находящиеся под управленческим контролем одного юридического лица, или юридические лица, одно из которых имеет управленческий контроль над другим юридическим лицом.";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"30. Перевод активов Фонда между портфелями, с определением их вида и объема, осуществляется по поручению полномочного представителя в рамках Правил.";</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32-1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21" w:id="12"/>
    <w:p>
      <w:pPr>
        <w:spacing w:after="0"/>
        <w:ind w:left="0"/>
        <w:jc w:val="both"/>
      </w:pPr>
      <w:r>
        <w:rPr>
          <w:rFonts w:ascii="Times New Roman"/>
          <w:b w:val="false"/>
          <w:i w:val="false"/>
          <w:color w:val="000000"/>
          <w:sz w:val="28"/>
        </w:rPr>
        <w:t>
      "32-1. При доверительном управлении применяется активное управление активами, пассивное управление активами и усовершенствованное индексное управление активами.</w:t>
      </w:r>
    </w:p>
    <w:bookmarkEnd w:id="12"/>
    <w:bookmarkStart w:name="z22" w:id="13"/>
    <w:p>
      <w:pPr>
        <w:spacing w:after="0"/>
        <w:ind w:left="0"/>
        <w:jc w:val="both"/>
      </w:pPr>
      <w:r>
        <w:rPr>
          <w:rFonts w:ascii="Times New Roman"/>
          <w:b w:val="false"/>
          <w:i w:val="false"/>
          <w:color w:val="000000"/>
          <w:sz w:val="28"/>
        </w:rPr>
        <w:t>
      33. Операции репо и обратного репо осуществляются с контрпартнерами, имеющими краткосрочные кредитные рейтинги не ниже А-1 (Standard&amp;Poor’s)/P1 (Moody’s) и долгосрочные кредитные рейтинги не ниже A- (Standard&amp;Poor’s)/A3 (Moody’s). Обеспечением для операций обратного репо являются ценные бумаги с минимальным кредитным рейтингом не ниже A+ (Standard&amp;Poor’s)/А1 (Moody’s), рыночная стоимость которых составляет не менее 100 (сто) процентов от суммы операции.</w:t>
      </w:r>
    </w:p>
    <w:bookmarkEnd w:id="13"/>
    <w:bookmarkStart w:name="z23" w:id="14"/>
    <w:p>
      <w:pPr>
        <w:spacing w:after="0"/>
        <w:ind w:left="0"/>
        <w:jc w:val="both"/>
      </w:pPr>
      <w:r>
        <w:rPr>
          <w:rFonts w:ascii="Times New Roman"/>
          <w:b w:val="false"/>
          <w:i w:val="false"/>
          <w:color w:val="000000"/>
          <w:sz w:val="28"/>
        </w:rPr>
        <w:t xml:space="preserve">
      34. Депозиты (вклады) в иностранной валюте и в золоте размещаются у контрпартнеров, имеющих краткосрочные кредитные рейтинги не ниже A-1 (Standard&amp;Poor’s)/P1 (Moody’s) и долгосрочные кредитные рейтинги не ниже A (Standard&amp;Poor’s)/A2(Moody’s). Максимальный срок депозитов (вкладов) в иностранной валюте – 1 (один) месяц. Максимальный срок депозитов (вкладов) в золоте предусмотрен </w:t>
      </w:r>
      <w:r>
        <w:rPr>
          <w:rFonts w:ascii="Times New Roman"/>
          <w:b w:val="false"/>
          <w:i w:val="false"/>
          <w:color w:val="000000"/>
          <w:sz w:val="28"/>
        </w:rPr>
        <w:t>пунктом 56-11</w:t>
      </w:r>
      <w:r>
        <w:rPr>
          <w:rFonts w:ascii="Times New Roman"/>
          <w:b w:val="false"/>
          <w:i w:val="false"/>
          <w:color w:val="000000"/>
          <w:sz w:val="28"/>
        </w:rPr>
        <w:t xml:space="preserve"> Правил.</w:t>
      </w:r>
    </w:p>
    <w:bookmarkEnd w:id="14"/>
    <w:bookmarkStart w:name="z24" w:id="15"/>
    <w:p>
      <w:pPr>
        <w:spacing w:after="0"/>
        <w:ind w:left="0"/>
        <w:jc w:val="both"/>
      </w:pPr>
      <w:r>
        <w:rPr>
          <w:rFonts w:ascii="Times New Roman"/>
          <w:b w:val="false"/>
          <w:i w:val="false"/>
          <w:color w:val="000000"/>
          <w:sz w:val="28"/>
        </w:rPr>
        <w:t>
      35. Сделки по принципу "поставка против платежа" осуществляются при одновременной поставке активов между контрпартнерами или кастодианами без ограничений на их кредитный рейтинг.";</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35-2</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"35-2. Инвестирование остатков денег осуществляется в фонды денежного рынка с рейтингом АААm – Standard &amp; Poor's или Ааа – Moody's или в фонды денежного рынка, выполняющие все требования, предъявляемые к фондам с рейтингом АААm – Standard &amp; Poor's или Ааа – Moody's.";</w:t>
      </w:r>
    </w:p>
    <w:bookmarkEnd w:id="16"/>
    <w:bookmarkStart w:name="z27"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35-5</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29" w:id="18"/>
    <w:p>
      <w:pPr>
        <w:spacing w:after="0"/>
        <w:ind w:left="0"/>
        <w:jc w:val="both"/>
      </w:pPr>
      <w:r>
        <w:rPr>
          <w:rFonts w:ascii="Times New Roman"/>
          <w:b w:val="false"/>
          <w:i w:val="false"/>
          <w:color w:val="000000"/>
          <w:sz w:val="28"/>
        </w:rPr>
        <w:t>
      "40. Максимальный срок погашения ценной бумаги не превышает 10 (десять) лет.</w:t>
      </w:r>
    </w:p>
    <w:bookmarkEnd w:id="18"/>
    <w:bookmarkStart w:name="z30" w:id="19"/>
    <w:p>
      <w:pPr>
        <w:spacing w:after="0"/>
        <w:ind w:left="0"/>
        <w:jc w:val="both"/>
      </w:pPr>
      <w:r>
        <w:rPr>
          <w:rFonts w:ascii="Times New Roman"/>
          <w:b w:val="false"/>
          <w:i w:val="false"/>
          <w:color w:val="000000"/>
          <w:sz w:val="28"/>
        </w:rPr>
        <w:t>
      41.Средневзвешенный срок погашения финансовых инструментов стабилизационного портфеля не превышает 1 (один) год.</w:t>
      </w:r>
    </w:p>
    <w:bookmarkEnd w:id="19"/>
    <w:bookmarkStart w:name="z31" w:id="20"/>
    <w:p>
      <w:pPr>
        <w:spacing w:after="0"/>
        <w:ind w:left="0"/>
        <w:jc w:val="both"/>
      </w:pPr>
      <w:r>
        <w:rPr>
          <w:rFonts w:ascii="Times New Roman"/>
          <w:b w:val="false"/>
          <w:i w:val="false"/>
          <w:color w:val="000000"/>
          <w:sz w:val="28"/>
        </w:rPr>
        <w:t>
      42. Во внешнее управление передается не более 50 (пятидесяти) процентов активов стабилизационного портфеля.</w:t>
      </w:r>
    </w:p>
    <w:bookmarkEnd w:id="20"/>
    <w:bookmarkStart w:name="z32" w:id="21"/>
    <w:p>
      <w:pPr>
        <w:spacing w:after="0"/>
        <w:ind w:left="0"/>
        <w:jc w:val="both"/>
      </w:pPr>
      <w:r>
        <w:rPr>
          <w:rFonts w:ascii="Times New Roman"/>
          <w:b w:val="false"/>
          <w:i w:val="false"/>
          <w:color w:val="000000"/>
          <w:sz w:val="28"/>
        </w:rPr>
        <w:t>
      43. В активы, деноминированные в валютах стран, отличных от доллара США, входящих в индексы сберегательного портфеля инвестируется максимум 50 (пятьдесят) процентов активов стабилизационного портфеля в разрезе валютного распределения.";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34" w:id="22"/>
    <w:p>
      <w:pPr>
        <w:spacing w:after="0"/>
        <w:ind w:left="0"/>
        <w:jc w:val="both"/>
      </w:pPr>
      <w:r>
        <w:rPr>
          <w:rFonts w:ascii="Times New Roman"/>
          <w:b w:val="false"/>
          <w:i w:val="false"/>
          <w:color w:val="000000"/>
          <w:sz w:val="28"/>
        </w:rPr>
        <w:t>
      "46. Целевым стратегическим распределением активов сберегательного портфеля по окончании переходного периода является:</w:t>
      </w:r>
    </w:p>
    <w:bookmarkEnd w:id="22"/>
    <w:bookmarkStart w:name="z35" w:id="23"/>
    <w:p>
      <w:pPr>
        <w:spacing w:after="0"/>
        <w:ind w:left="0"/>
        <w:jc w:val="both"/>
      </w:pPr>
      <w:r>
        <w:rPr>
          <w:rFonts w:ascii="Times New Roman"/>
          <w:b w:val="false"/>
          <w:i w:val="false"/>
          <w:color w:val="000000"/>
          <w:sz w:val="28"/>
        </w:rPr>
        <w:t>
      1) 60 (шестьдесят) процентов – облигации, включая:</w:t>
      </w:r>
    </w:p>
    <w:bookmarkEnd w:id="23"/>
    <w:bookmarkStart w:name="z36" w:id="24"/>
    <w:p>
      <w:pPr>
        <w:spacing w:after="0"/>
        <w:ind w:left="0"/>
        <w:jc w:val="both"/>
      </w:pPr>
      <w:r>
        <w:rPr>
          <w:rFonts w:ascii="Times New Roman"/>
          <w:b w:val="false"/>
          <w:i w:val="false"/>
          <w:color w:val="000000"/>
          <w:sz w:val="28"/>
        </w:rPr>
        <w:t>
      29 (двадцать девять) процентов – государственные облигации развитых стран;</w:t>
      </w:r>
    </w:p>
    <w:bookmarkEnd w:id="24"/>
    <w:bookmarkStart w:name="z37" w:id="25"/>
    <w:p>
      <w:pPr>
        <w:spacing w:after="0"/>
        <w:ind w:left="0"/>
        <w:jc w:val="both"/>
      </w:pPr>
      <w:r>
        <w:rPr>
          <w:rFonts w:ascii="Times New Roman"/>
          <w:b w:val="false"/>
          <w:i w:val="false"/>
          <w:color w:val="000000"/>
          <w:sz w:val="28"/>
        </w:rPr>
        <w:t>
      21 (двадцать один) процент – государственные облигации развивающихся стран;</w:t>
      </w:r>
    </w:p>
    <w:bookmarkEnd w:id="25"/>
    <w:bookmarkStart w:name="z38" w:id="26"/>
    <w:p>
      <w:pPr>
        <w:spacing w:after="0"/>
        <w:ind w:left="0"/>
        <w:jc w:val="both"/>
      </w:pPr>
      <w:r>
        <w:rPr>
          <w:rFonts w:ascii="Times New Roman"/>
          <w:b w:val="false"/>
          <w:i w:val="false"/>
          <w:color w:val="000000"/>
          <w:sz w:val="28"/>
        </w:rPr>
        <w:t>
      10 (десять) процентов – корпоративные облигации;</w:t>
      </w:r>
    </w:p>
    <w:bookmarkEnd w:id="26"/>
    <w:bookmarkStart w:name="z39" w:id="27"/>
    <w:p>
      <w:pPr>
        <w:spacing w:after="0"/>
        <w:ind w:left="0"/>
        <w:jc w:val="both"/>
      </w:pPr>
      <w:r>
        <w:rPr>
          <w:rFonts w:ascii="Times New Roman"/>
          <w:b w:val="false"/>
          <w:i w:val="false"/>
          <w:color w:val="000000"/>
          <w:sz w:val="28"/>
        </w:rPr>
        <w:t>
      2) 30 (тридцать) процентов – акции;</w:t>
      </w:r>
    </w:p>
    <w:bookmarkEnd w:id="27"/>
    <w:bookmarkStart w:name="z40" w:id="28"/>
    <w:p>
      <w:pPr>
        <w:spacing w:after="0"/>
        <w:ind w:left="0"/>
        <w:jc w:val="both"/>
      </w:pPr>
      <w:r>
        <w:rPr>
          <w:rFonts w:ascii="Times New Roman"/>
          <w:b w:val="false"/>
          <w:i w:val="false"/>
          <w:color w:val="000000"/>
          <w:sz w:val="28"/>
        </w:rPr>
        <w:t>
      3) до 5 (пяти) процентов – альтернативные инструменты;</w:t>
      </w:r>
    </w:p>
    <w:bookmarkEnd w:id="28"/>
    <w:bookmarkStart w:name="z41" w:id="29"/>
    <w:p>
      <w:pPr>
        <w:spacing w:after="0"/>
        <w:ind w:left="0"/>
        <w:jc w:val="both"/>
      </w:pPr>
      <w:r>
        <w:rPr>
          <w:rFonts w:ascii="Times New Roman"/>
          <w:b w:val="false"/>
          <w:i w:val="false"/>
          <w:color w:val="000000"/>
          <w:sz w:val="28"/>
        </w:rPr>
        <w:t>
      4) до 5 (пяти) процентов – золото.";</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47-1</w:t>
      </w:r>
      <w:r>
        <w:rPr>
          <w:rFonts w:ascii="Times New Roman"/>
          <w:b w:val="false"/>
          <w:i w:val="false"/>
          <w:color w:val="000000"/>
          <w:sz w:val="28"/>
        </w:rPr>
        <w:t xml:space="preserve"> и </w:t>
      </w:r>
      <w:r>
        <w:rPr>
          <w:rFonts w:ascii="Times New Roman"/>
          <w:b w:val="false"/>
          <w:i w:val="false"/>
          <w:color w:val="000000"/>
          <w:sz w:val="28"/>
        </w:rPr>
        <w:t>47-2</w:t>
      </w:r>
      <w:r>
        <w:rPr>
          <w:rFonts w:ascii="Times New Roman"/>
          <w:b w:val="false"/>
          <w:i w:val="false"/>
          <w:color w:val="000000"/>
          <w:sz w:val="28"/>
        </w:rPr>
        <w:t xml:space="preserve"> изложить в следующей редакции:</w:t>
      </w:r>
    </w:p>
    <w:bookmarkStart w:name="z43" w:id="30"/>
    <w:p>
      <w:pPr>
        <w:spacing w:after="0"/>
        <w:ind w:left="0"/>
        <w:jc w:val="both"/>
      </w:pPr>
      <w:r>
        <w:rPr>
          <w:rFonts w:ascii="Times New Roman"/>
          <w:b w:val="false"/>
          <w:i w:val="false"/>
          <w:color w:val="000000"/>
          <w:sz w:val="28"/>
        </w:rPr>
        <w:t xml:space="preserve">
      "47-1. Переход к новому целевому стратегическому распределению активов сберегательного портфеля осуществляется в соответствии с планом перехода согласно </w:t>
      </w:r>
      <w:r>
        <w:rPr>
          <w:rFonts w:ascii="Times New Roman"/>
          <w:b w:val="false"/>
          <w:i w:val="false"/>
          <w:color w:val="000000"/>
          <w:sz w:val="28"/>
        </w:rPr>
        <w:t>приложению 3-1</w:t>
      </w:r>
      <w:r>
        <w:rPr>
          <w:rFonts w:ascii="Times New Roman"/>
          <w:b w:val="false"/>
          <w:i w:val="false"/>
          <w:color w:val="000000"/>
          <w:sz w:val="28"/>
        </w:rPr>
        <w:t xml:space="preserve"> к Правилам, который включает в себя распределение целевых долей портфелей в составе сберегательного портфеля на конец каждого года.</w:t>
      </w:r>
    </w:p>
    <w:bookmarkEnd w:id="30"/>
    <w:bookmarkStart w:name="z44" w:id="31"/>
    <w:p>
      <w:pPr>
        <w:spacing w:after="0"/>
        <w:ind w:left="0"/>
        <w:jc w:val="both"/>
      </w:pPr>
      <w:r>
        <w:rPr>
          <w:rFonts w:ascii="Times New Roman"/>
          <w:b w:val="false"/>
          <w:i w:val="false"/>
          <w:color w:val="000000"/>
          <w:sz w:val="28"/>
        </w:rPr>
        <w:t>
      47-2. В случае неблагоприятной конъюнктуры рынка или необходимости дополнительного времени на подготовку инфраструктуры сберегательного портфеля допускается отклонение от плана перехода.";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и </w:t>
      </w:r>
      <w:r>
        <w:rPr>
          <w:rFonts w:ascii="Times New Roman"/>
          <w:b w:val="false"/>
          <w:i w:val="false"/>
          <w:color w:val="000000"/>
          <w:sz w:val="28"/>
        </w:rPr>
        <w:t>49</w:t>
      </w:r>
      <w:r>
        <w:rPr>
          <w:rFonts w:ascii="Times New Roman"/>
          <w:b w:val="false"/>
          <w:i w:val="false"/>
          <w:color w:val="000000"/>
          <w:sz w:val="28"/>
        </w:rPr>
        <w:t xml:space="preserve"> изложить в следующей редакции:</w:t>
      </w:r>
    </w:p>
    <w:bookmarkStart w:name="z46" w:id="32"/>
    <w:p>
      <w:pPr>
        <w:spacing w:after="0"/>
        <w:ind w:left="0"/>
        <w:jc w:val="both"/>
      </w:pPr>
      <w:r>
        <w:rPr>
          <w:rFonts w:ascii="Times New Roman"/>
          <w:b w:val="false"/>
          <w:i w:val="false"/>
          <w:color w:val="000000"/>
          <w:sz w:val="28"/>
        </w:rPr>
        <w:t>
      "48. Эталонным портфелем для портфеля государственных облигаций развитых стран является композитный индекс облигаций развитых стран, состоящий из следующих индексов высоколиквидных ценных бумаг:</w:t>
      </w:r>
    </w:p>
    <w:bookmarkEnd w:id="32"/>
    <w:bookmarkStart w:name="z47" w:id="33"/>
    <w:p>
      <w:pPr>
        <w:spacing w:after="0"/>
        <w:ind w:left="0"/>
        <w:jc w:val="both"/>
      </w:pPr>
      <w:r>
        <w:rPr>
          <w:rFonts w:ascii="Times New Roman"/>
          <w:b w:val="false"/>
          <w:i w:val="false"/>
          <w:color w:val="000000"/>
          <w:sz w:val="28"/>
        </w:rPr>
        <w:t>
      ICE BofAML 1-10 Year US Treasury Index (GVQ0) – 62,5 (шестьдесят два целых пять десятых) процентов;</w:t>
      </w:r>
    </w:p>
    <w:bookmarkEnd w:id="33"/>
    <w:bookmarkStart w:name="z48" w:id="34"/>
    <w:p>
      <w:pPr>
        <w:spacing w:after="0"/>
        <w:ind w:left="0"/>
        <w:jc w:val="both"/>
      </w:pPr>
      <w:r>
        <w:rPr>
          <w:rFonts w:ascii="Times New Roman"/>
          <w:b w:val="false"/>
          <w:i w:val="false"/>
          <w:color w:val="000000"/>
          <w:sz w:val="28"/>
        </w:rPr>
        <w:t>
      ICE BofAML 1-10 Year German, France, Netherlands, Austria, Luxemburg &amp; Finland Government Index (EVDF) – 12,5 (двенадцать целых пять десятых) процентов;</w:t>
      </w:r>
    </w:p>
    <w:bookmarkEnd w:id="34"/>
    <w:bookmarkStart w:name="z49" w:id="35"/>
    <w:p>
      <w:pPr>
        <w:spacing w:after="0"/>
        <w:ind w:left="0"/>
        <w:jc w:val="both"/>
      </w:pPr>
      <w:r>
        <w:rPr>
          <w:rFonts w:ascii="Times New Roman"/>
          <w:b w:val="false"/>
          <w:i w:val="false"/>
          <w:color w:val="000000"/>
          <w:sz w:val="28"/>
        </w:rPr>
        <w:t>
      ICE BofAML 1-10 Year UK Gilt Index (GVL0) – 10 (десять) процентов;</w:t>
      </w:r>
    </w:p>
    <w:bookmarkEnd w:id="35"/>
    <w:bookmarkStart w:name="z50" w:id="36"/>
    <w:p>
      <w:pPr>
        <w:spacing w:after="0"/>
        <w:ind w:left="0"/>
        <w:jc w:val="both"/>
      </w:pPr>
      <w:r>
        <w:rPr>
          <w:rFonts w:ascii="Times New Roman"/>
          <w:b w:val="false"/>
          <w:i w:val="false"/>
          <w:color w:val="000000"/>
          <w:sz w:val="28"/>
        </w:rPr>
        <w:t>
      ICE BofAML 1-10 Year Japan Government Index (GVY0) – 5 (пять) процентов;</w:t>
      </w:r>
    </w:p>
    <w:bookmarkEnd w:id="36"/>
    <w:bookmarkStart w:name="z51" w:id="37"/>
    <w:p>
      <w:pPr>
        <w:spacing w:after="0"/>
        <w:ind w:left="0"/>
        <w:jc w:val="both"/>
      </w:pPr>
      <w:r>
        <w:rPr>
          <w:rFonts w:ascii="Times New Roman"/>
          <w:b w:val="false"/>
          <w:i w:val="false"/>
          <w:color w:val="000000"/>
          <w:sz w:val="28"/>
        </w:rPr>
        <w:t>
      ICE BofAML 1-10 Year Australia Government Index (GVT0) – 5 (пять) процентов;</w:t>
      </w:r>
    </w:p>
    <w:bookmarkEnd w:id="37"/>
    <w:bookmarkStart w:name="z52" w:id="38"/>
    <w:p>
      <w:pPr>
        <w:spacing w:after="0"/>
        <w:ind w:left="0"/>
        <w:jc w:val="both"/>
      </w:pPr>
      <w:r>
        <w:rPr>
          <w:rFonts w:ascii="Times New Roman"/>
          <w:b w:val="false"/>
          <w:i w:val="false"/>
          <w:color w:val="000000"/>
          <w:sz w:val="28"/>
        </w:rPr>
        <w:t>
      ICE BofAML 1-10 Year Canada Government Index (GVC0) – 5 (пять) процентов.</w:t>
      </w:r>
    </w:p>
    <w:bookmarkEnd w:id="38"/>
    <w:bookmarkStart w:name="z53" w:id="39"/>
    <w:p>
      <w:pPr>
        <w:spacing w:after="0"/>
        <w:ind w:left="0"/>
        <w:jc w:val="both"/>
      </w:pPr>
      <w:r>
        <w:rPr>
          <w:rFonts w:ascii="Times New Roman"/>
          <w:b w:val="false"/>
          <w:i w:val="false"/>
          <w:color w:val="000000"/>
          <w:sz w:val="28"/>
        </w:rPr>
        <w:t>
      Возврат к эталонному распределению в композитном индексе облигаций развитых стран осуществляется в последний рабочий день календарного квартала.</w:t>
      </w:r>
    </w:p>
    <w:bookmarkEnd w:id="39"/>
    <w:bookmarkStart w:name="z54" w:id="40"/>
    <w:p>
      <w:pPr>
        <w:spacing w:after="0"/>
        <w:ind w:left="0"/>
        <w:jc w:val="both"/>
      </w:pPr>
      <w:r>
        <w:rPr>
          <w:rFonts w:ascii="Times New Roman"/>
          <w:b w:val="false"/>
          <w:i w:val="false"/>
          <w:color w:val="000000"/>
          <w:sz w:val="28"/>
        </w:rPr>
        <w:t>
      Состав ценных бумаг в композитном индексе облигаций развитых стран меняется ежемесячно.</w:t>
      </w:r>
    </w:p>
    <w:bookmarkEnd w:id="40"/>
    <w:bookmarkStart w:name="z55" w:id="41"/>
    <w:p>
      <w:pPr>
        <w:spacing w:after="0"/>
        <w:ind w:left="0"/>
        <w:jc w:val="both"/>
      </w:pPr>
      <w:r>
        <w:rPr>
          <w:rFonts w:ascii="Times New Roman"/>
          <w:b w:val="false"/>
          <w:i w:val="false"/>
          <w:color w:val="000000"/>
          <w:sz w:val="28"/>
        </w:rPr>
        <w:t>
      Показатели доходности и риска рассчитываются Национальным Банком ежедневно.</w:t>
      </w:r>
    </w:p>
    <w:bookmarkEnd w:id="41"/>
    <w:bookmarkStart w:name="z56" w:id="42"/>
    <w:p>
      <w:pPr>
        <w:spacing w:after="0"/>
        <w:ind w:left="0"/>
        <w:jc w:val="both"/>
      </w:pPr>
      <w:r>
        <w:rPr>
          <w:rFonts w:ascii="Times New Roman"/>
          <w:b w:val="false"/>
          <w:i w:val="false"/>
          <w:color w:val="000000"/>
          <w:sz w:val="28"/>
        </w:rPr>
        <w:t>
      49. Дюрация портфеля не превышает пределов +30/-40 (плюс тридцать/минус сорок) процентов от дюрации эталонного портфеля.";</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и </w:t>
      </w:r>
      <w:r>
        <w:rPr>
          <w:rFonts w:ascii="Times New Roman"/>
          <w:b w:val="false"/>
          <w:i w:val="false"/>
          <w:color w:val="000000"/>
          <w:sz w:val="28"/>
        </w:rPr>
        <w:t>51-4</w:t>
      </w:r>
      <w:r>
        <w:rPr>
          <w:rFonts w:ascii="Times New Roman"/>
          <w:b w:val="false"/>
          <w:i w:val="false"/>
          <w:color w:val="000000"/>
          <w:sz w:val="28"/>
        </w:rPr>
        <w:t xml:space="preserve"> изложить в следующей редакции:</w:t>
      </w:r>
    </w:p>
    <w:bookmarkStart w:name="z58" w:id="43"/>
    <w:p>
      <w:pPr>
        <w:spacing w:after="0"/>
        <w:ind w:left="0"/>
        <w:jc w:val="both"/>
      </w:pPr>
      <w:r>
        <w:rPr>
          <w:rFonts w:ascii="Times New Roman"/>
          <w:b w:val="false"/>
          <w:i w:val="false"/>
          <w:color w:val="000000"/>
          <w:sz w:val="28"/>
        </w:rPr>
        <w:t>
      "51-1. Ожидаемая изменчивость отклонения доходности портфеля государственных облигаций развитых стран (ex-ante tracking error) с учетом входящих в него производных финансовых инструментов не превышает 2 (двух) процентов годовых.</w:t>
      </w:r>
    </w:p>
    <w:bookmarkEnd w:id="43"/>
    <w:bookmarkStart w:name="z59" w:id="44"/>
    <w:p>
      <w:pPr>
        <w:spacing w:after="0"/>
        <w:ind w:left="0"/>
        <w:jc w:val="both"/>
      </w:pPr>
      <w:r>
        <w:rPr>
          <w:rFonts w:ascii="Times New Roman"/>
          <w:b w:val="false"/>
          <w:i w:val="false"/>
          <w:color w:val="000000"/>
          <w:sz w:val="28"/>
        </w:rPr>
        <w:t>
      В случае превышения ограничения, предусмотренного частью первой настоящего пункта, Национальный Банк устраняет несоответствие в срок не более 15 (пятнадцати) рабочих дней со дня превышения.</w:t>
      </w:r>
    </w:p>
    <w:bookmarkEnd w:id="44"/>
    <w:bookmarkStart w:name="z60" w:id="45"/>
    <w:p>
      <w:pPr>
        <w:spacing w:after="0"/>
        <w:ind w:left="0"/>
        <w:jc w:val="both"/>
      </w:pPr>
      <w:r>
        <w:rPr>
          <w:rFonts w:ascii="Times New Roman"/>
          <w:b w:val="false"/>
          <w:i w:val="false"/>
          <w:color w:val="000000"/>
          <w:sz w:val="28"/>
        </w:rPr>
        <w:t>
      51-2. Портфель государственных облигаций развивающихся стран состоит из:</w:t>
      </w:r>
    </w:p>
    <w:bookmarkEnd w:id="45"/>
    <w:bookmarkStart w:name="z61" w:id="46"/>
    <w:p>
      <w:pPr>
        <w:spacing w:after="0"/>
        <w:ind w:left="0"/>
        <w:jc w:val="both"/>
      </w:pPr>
      <w:r>
        <w:rPr>
          <w:rFonts w:ascii="Times New Roman"/>
          <w:b w:val="false"/>
          <w:i w:val="false"/>
          <w:color w:val="000000"/>
          <w:sz w:val="28"/>
        </w:rPr>
        <w:t>
      портфеля государственных облигаций развивающихся стран, с применением эталонного портфеля с индексом ICE BofAML Q34A Custom Index, исключающим облигации стран с долей нефти в экспорте в размере более чем 80 (восемьдесят) процентов;</w:t>
      </w:r>
    </w:p>
    <w:bookmarkEnd w:id="46"/>
    <w:bookmarkStart w:name="z62" w:id="47"/>
    <w:p>
      <w:pPr>
        <w:spacing w:after="0"/>
        <w:ind w:left="0"/>
        <w:jc w:val="both"/>
      </w:pPr>
      <w:r>
        <w:rPr>
          <w:rFonts w:ascii="Times New Roman"/>
          <w:b w:val="false"/>
          <w:i w:val="false"/>
          <w:color w:val="000000"/>
          <w:sz w:val="28"/>
        </w:rPr>
        <w:t>
      портфеля в китайских юанях, без применения эталонного портфеля, объем которого не превышает 1 (один) процент от сберегательного портфеля.</w:t>
      </w:r>
    </w:p>
    <w:bookmarkEnd w:id="47"/>
    <w:bookmarkStart w:name="z63" w:id="48"/>
    <w:p>
      <w:pPr>
        <w:spacing w:after="0"/>
        <w:ind w:left="0"/>
        <w:jc w:val="both"/>
      </w:pPr>
      <w:r>
        <w:rPr>
          <w:rFonts w:ascii="Times New Roman"/>
          <w:b w:val="false"/>
          <w:i w:val="false"/>
          <w:color w:val="000000"/>
          <w:sz w:val="28"/>
        </w:rPr>
        <w:t>
      51-3. Для портфеля государственных облигаций развивающихся стран применяются следующие условия:</w:t>
      </w:r>
    </w:p>
    <w:bookmarkEnd w:id="48"/>
    <w:bookmarkStart w:name="z64" w:id="49"/>
    <w:p>
      <w:pPr>
        <w:spacing w:after="0"/>
        <w:ind w:left="0"/>
        <w:jc w:val="both"/>
      </w:pPr>
      <w:r>
        <w:rPr>
          <w:rFonts w:ascii="Times New Roman"/>
          <w:b w:val="false"/>
          <w:i w:val="false"/>
          <w:color w:val="000000"/>
          <w:sz w:val="28"/>
        </w:rPr>
        <w:t>
      1) минимальный кредитный рейтинг активов портфеля государственных облигаций развивающихся стран соответствует уровню ВВ (Standard&amp;Poor's)/Ва2 (Moody’s) или аналогичному кредитному рейтингу других международных рейтинговых агентств.</w:t>
      </w:r>
    </w:p>
    <w:bookmarkEnd w:id="49"/>
    <w:bookmarkStart w:name="z65" w:id="50"/>
    <w:p>
      <w:pPr>
        <w:spacing w:after="0"/>
        <w:ind w:left="0"/>
        <w:jc w:val="both"/>
      </w:pPr>
      <w:r>
        <w:rPr>
          <w:rFonts w:ascii="Times New Roman"/>
          <w:b w:val="false"/>
          <w:i w:val="false"/>
          <w:color w:val="000000"/>
          <w:sz w:val="28"/>
        </w:rPr>
        <w:t>
      При наличии 2 (двух) и более кредитных рейтингов для активов портфеля государственных облигаций развивающихся стран минимальный кредитный рейтинг определяется как наименьший из них.</w:t>
      </w:r>
    </w:p>
    <w:bookmarkEnd w:id="50"/>
    <w:bookmarkStart w:name="z66" w:id="51"/>
    <w:p>
      <w:pPr>
        <w:spacing w:after="0"/>
        <w:ind w:left="0"/>
        <w:jc w:val="both"/>
      </w:pPr>
      <w:r>
        <w:rPr>
          <w:rFonts w:ascii="Times New Roman"/>
          <w:b w:val="false"/>
          <w:i w:val="false"/>
          <w:color w:val="000000"/>
          <w:sz w:val="28"/>
        </w:rPr>
        <w:t>
      Если значение кредитного рейтинга по активу снижается ниже минимального кредитного рейтинга, Национальный Банк осуществляет мероприятия по ликвидации позиции по данному активу, с учетом текущей конъюнктуры рынка, в срок не более 2 (двух) месяцев со дня снижения значения минимального кредитного рейтинга по активу;</w:t>
      </w:r>
    </w:p>
    <w:bookmarkEnd w:id="51"/>
    <w:bookmarkStart w:name="z67" w:id="52"/>
    <w:p>
      <w:pPr>
        <w:spacing w:after="0"/>
        <w:ind w:left="0"/>
        <w:jc w:val="both"/>
      </w:pPr>
      <w:r>
        <w:rPr>
          <w:rFonts w:ascii="Times New Roman"/>
          <w:b w:val="false"/>
          <w:i w:val="false"/>
          <w:color w:val="000000"/>
          <w:sz w:val="28"/>
        </w:rPr>
        <w:t xml:space="preserve">
      2) ограничения, соответствующие секторному распределению портфеля государственных облигаций развивающихся стран отдельного управляющего, согласно </w:t>
      </w:r>
      <w:r>
        <w:rPr>
          <w:rFonts w:ascii="Times New Roman"/>
          <w:b w:val="false"/>
          <w:i w:val="false"/>
          <w:color w:val="000000"/>
          <w:sz w:val="28"/>
        </w:rPr>
        <w:t>приложению 6-1</w:t>
      </w:r>
      <w:r>
        <w:rPr>
          <w:rFonts w:ascii="Times New Roman"/>
          <w:b w:val="false"/>
          <w:i w:val="false"/>
          <w:color w:val="000000"/>
          <w:sz w:val="28"/>
        </w:rPr>
        <w:t xml:space="preserve"> к Правилам.</w:t>
      </w:r>
    </w:p>
    <w:bookmarkEnd w:id="52"/>
    <w:bookmarkStart w:name="z68" w:id="53"/>
    <w:p>
      <w:pPr>
        <w:spacing w:after="0"/>
        <w:ind w:left="0"/>
        <w:jc w:val="both"/>
      </w:pPr>
      <w:r>
        <w:rPr>
          <w:rFonts w:ascii="Times New Roman"/>
          <w:b w:val="false"/>
          <w:i w:val="false"/>
          <w:color w:val="000000"/>
          <w:sz w:val="28"/>
        </w:rPr>
        <w:t>
      51-4. Для портфеля государственных облигаций развивающихся стран с применением эталонного портфеля применяются следующие условия:</w:t>
      </w:r>
    </w:p>
    <w:bookmarkEnd w:id="53"/>
    <w:bookmarkStart w:name="z69" w:id="54"/>
    <w:p>
      <w:pPr>
        <w:spacing w:after="0"/>
        <w:ind w:left="0"/>
        <w:jc w:val="both"/>
      </w:pPr>
      <w:r>
        <w:rPr>
          <w:rFonts w:ascii="Times New Roman"/>
          <w:b w:val="false"/>
          <w:i w:val="false"/>
          <w:color w:val="000000"/>
          <w:sz w:val="28"/>
        </w:rPr>
        <w:t>
      1) исключение из состава индекса облигаций стран с долей нефти в экспорте в размере более чем 80 (восемьдесят) процентов осуществляется Национальным Банком не реже, чем 1 (один) раз в год;</w:t>
      </w:r>
    </w:p>
    <w:bookmarkEnd w:id="54"/>
    <w:bookmarkStart w:name="z70" w:id="55"/>
    <w:p>
      <w:pPr>
        <w:spacing w:after="0"/>
        <w:ind w:left="0"/>
        <w:jc w:val="both"/>
      </w:pPr>
      <w:r>
        <w:rPr>
          <w:rFonts w:ascii="Times New Roman"/>
          <w:b w:val="false"/>
          <w:i w:val="false"/>
          <w:color w:val="000000"/>
          <w:sz w:val="28"/>
        </w:rPr>
        <w:t>
      2) доля ценных бумаг одной страны-эмитента, входящей в эталонный портфель, не превышает 20 (двадцать) процентов от объема портфеля государственных облигаций развивающихся стран;</w:t>
      </w:r>
    </w:p>
    <w:bookmarkEnd w:id="55"/>
    <w:bookmarkStart w:name="z71" w:id="56"/>
    <w:p>
      <w:pPr>
        <w:spacing w:after="0"/>
        <w:ind w:left="0"/>
        <w:jc w:val="both"/>
      </w:pPr>
      <w:r>
        <w:rPr>
          <w:rFonts w:ascii="Times New Roman"/>
          <w:b w:val="false"/>
          <w:i w:val="false"/>
          <w:color w:val="000000"/>
          <w:sz w:val="28"/>
        </w:rPr>
        <w:t>
      3) доля ценных бумаг одной страны-эмитента, не входящей в эталонный портфель, не превышает 5 (пять) процентов от объема портфеля государственных облигаций развивающихся стран;</w:t>
      </w:r>
    </w:p>
    <w:bookmarkEnd w:id="56"/>
    <w:bookmarkStart w:name="z72" w:id="57"/>
    <w:p>
      <w:pPr>
        <w:spacing w:after="0"/>
        <w:ind w:left="0"/>
        <w:jc w:val="both"/>
      </w:pPr>
      <w:r>
        <w:rPr>
          <w:rFonts w:ascii="Times New Roman"/>
          <w:b w:val="false"/>
          <w:i w:val="false"/>
          <w:color w:val="000000"/>
          <w:sz w:val="28"/>
        </w:rPr>
        <w:t>
      4) дюрация портфеля государственных облигаций развивающихся стран не превышает пределов +30/-40 (плюс тридцать/минус сорок) процентов от дюрации эталонного портфеля;</w:t>
      </w:r>
    </w:p>
    <w:bookmarkEnd w:id="57"/>
    <w:bookmarkStart w:name="z73" w:id="58"/>
    <w:p>
      <w:pPr>
        <w:spacing w:after="0"/>
        <w:ind w:left="0"/>
        <w:jc w:val="both"/>
      </w:pPr>
      <w:r>
        <w:rPr>
          <w:rFonts w:ascii="Times New Roman"/>
          <w:b w:val="false"/>
          <w:i w:val="false"/>
          <w:color w:val="000000"/>
          <w:sz w:val="28"/>
        </w:rPr>
        <w:t>
      5) ожидаемая изменчивость отклонения доходности портфеля государственных облигаций развивающихся стран (ex-ante tracking error) с учетом входящих в него производных финансовых инструментов не превышает 4 (четыре) процента годовых.</w:t>
      </w:r>
    </w:p>
    <w:bookmarkEnd w:id="58"/>
    <w:bookmarkStart w:name="z74" w:id="59"/>
    <w:p>
      <w:pPr>
        <w:spacing w:after="0"/>
        <w:ind w:left="0"/>
        <w:jc w:val="both"/>
      </w:pPr>
      <w:r>
        <w:rPr>
          <w:rFonts w:ascii="Times New Roman"/>
          <w:b w:val="false"/>
          <w:i w:val="false"/>
          <w:color w:val="000000"/>
          <w:sz w:val="28"/>
        </w:rPr>
        <w:t>
      В случае превышения ограничения, предусмотренного подпунктом 5) настоящего пункта, Национальный Банк устраняет несоответствие в срок не более 15 (пятнадцати) рабочих дней со дня превышения.";</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и </w:t>
      </w:r>
      <w:r>
        <w:rPr>
          <w:rFonts w:ascii="Times New Roman"/>
          <w:b w:val="false"/>
          <w:i w:val="false"/>
          <w:color w:val="000000"/>
          <w:sz w:val="28"/>
        </w:rPr>
        <w:t>51-9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51-12</w:t>
      </w:r>
      <w:r>
        <w:rPr>
          <w:rFonts w:ascii="Times New Roman"/>
          <w:b w:val="false"/>
          <w:i w:val="false"/>
          <w:color w:val="000000"/>
          <w:sz w:val="28"/>
        </w:rPr>
        <w:t xml:space="preserve"> изложить в следующей редакции:</w:t>
      </w:r>
    </w:p>
    <w:bookmarkStart w:name="z77" w:id="60"/>
    <w:p>
      <w:pPr>
        <w:spacing w:after="0"/>
        <w:ind w:left="0"/>
        <w:jc w:val="both"/>
      </w:pPr>
      <w:r>
        <w:rPr>
          <w:rFonts w:ascii="Times New Roman"/>
          <w:b w:val="false"/>
          <w:i w:val="false"/>
          <w:color w:val="000000"/>
          <w:sz w:val="28"/>
        </w:rPr>
        <w:t>
      "51-12. Дюрация портфеля корпоративных облигаций не превышает пределов +30/-40 (плюс тридцать/минус сорок) процентов от дюрации эталонного портфеля.";</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51-14</w:t>
      </w:r>
      <w:r>
        <w:rPr>
          <w:rFonts w:ascii="Times New Roman"/>
          <w:b w:val="false"/>
          <w:i w:val="false"/>
          <w:color w:val="000000"/>
          <w:sz w:val="28"/>
        </w:rPr>
        <w:t xml:space="preserve"> изложить в следующей редакции:</w:t>
      </w:r>
    </w:p>
    <w:bookmarkStart w:name="z79" w:id="61"/>
    <w:p>
      <w:pPr>
        <w:spacing w:after="0"/>
        <w:ind w:left="0"/>
        <w:jc w:val="both"/>
      </w:pPr>
      <w:r>
        <w:rPr>
          <w:rFonts w:ascii="Times New Roman"/>
          <w:b w:val="false"/>
          <w:i w:val="false"/>
          <w:color w:val="000000"/>
          <w:sz w:val="28"/>
        </w:rPr>
        <w:t>
      "51-14. Ожидаемая изменчивость отклонения доходности портфеля корпоративных облигаций (ex-ante tracking error) с учетом входящих в него производных финансовых инструментов не превышает 4 (четырех) процентов годовых.</w:t>
      </w:r>
    </w:p>
    <w:bookmarkEnd w:id="61"/>
    <w:bookmarkStart w:name="z80" w:id="62"/>
    <w:p>
      <w:pPr>
        <w:spacing w:after="0"/>
        <w:ind w:left="0"/>
        <w:jc w:val="both"/>
      </w:pPr>
      <w:r>
        <w:rPr>
          <w:rFonts w:ascii="Times New Roman"/>
          <w:b w:val="false"/>
          <w:i w:val="false"/>
          <w:color w:val="000000"/>
          <w:sz w:val="28"/>
        </w:rPr>
        <w:t>
      В случае превышения ограничения, предусмотренного частью первой настоящего пункта, Национальный Банк устраняет несоответствие в срок не более 15 (пятнадцати) рабочих дней со дня превышения.";</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p>
    <w:bookmarkStart w:name="z82" w:id="63"/>
    <w:p>
      <w:pPr>
        <w:spacing w:after="0"/>
        <w:ind w:left="0"/>
        <w:jc w:val="both"/>
      </w:pPr>
      <w:r>
        <w:rPr>
          <w:rFonts w:ascii="Times New Roman"/>
          <w:b w:val="false"/>
          <w:i w:val="false"/>
          <w:color w:val="000000"/>
          <w:sz w:val="28"/>
        </w:rPr>
        <w:t>
      "53. Активы портфеля акций сберегательного портфеля (далее – портфель акций) инвестируются в простые и привилегированные акции, индексы, базируемые на эталонном портфеле портфеля акций или на составляющих его секторах, производные финансовые инструменты, а также деньги.</w:t>
      </w:r>
    </w:p>
    <w:bookmarkEnd w:id="63"/>
    <w:bookmarkStart w:name="z83" w:id="64"/>
    <w:p>
      <w:pPr>
        <w:spacing w:after="0"/>
        <w:ind w:left="0"/>
        <w:jc w:val="both"/>
      </w:pPr>
      <w:r>
        <w:rPr>
          <w:rFonts w:ascii="Times New Roman"/>
          <w:b w:val="false"/>
          <w:i w:val="false"/>
          <w:color w:val="000000"/>
          <w:sz w:val="28"/>
        </w:rPr>
        <w:t>
      54. Активы портфеля акций в самостоятельном управлении инвестируются в финансовые инструменты, перечисленные в пункте 53 Правил, а также допускаются инвестирование в государственные ценные бумаги со сроком погашения до 1 (одного) года, депозиты и совершение операций репо.</w:t>
      </w:r>
    </w:p>
    <w:bookmarkEnd w:id="64"/>
    <w:bookmarkStart w:name="z84" w:id="65"/>
    <w:p>
      <w:pPr>
        <w:spacing w:after="0"/>
        <w:ind w:left="0"/>
        <w:jc w:val="both"/>
      </w:pPr>
      <w:r>
        <w:rPr>
          <w:rFonts w:ascii="Times New Roman"/>
          <w:b w:val="false"/>
          <w:i w:val="false"/>
          <w:color w:val="000000"/>
          <w:sz w:val="28"/>
        </w:rPr>
        <w:t>
      55. Доля портфеля акций, находящаяся в активном управлении, не превышает 50 (пятьдесят) процентов от портфеля акций.";</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55-2</w:t>
      </w:r>
      <w:r>
        <w:rPr>
          <w:rFonts w:ascii="Times New Roman"/>
          <w:b w:val="false"/>
          <w:i w:val="false"/>
          <w:color w:val="000000"/>
          <w:sz w:val="28"/>
        </w:rPr>
        <w:t xml:space="preserve"> изложить в следующей редакции:</w:t>
      </w:r>
    </w:p>
    <w:bookmarkStart w:name="z86" w:id="66"/>
    <w:p>
      <w:pPr>
        <w:spacing w:after="0"/>
        <w:ind w:left="0"/>
        <w:jc w:val="both"/>
      </w:pPr>
      <w:r>
        <w:rPr>
          <w:rFonts w:ascii="Times New Roman"/>
          <w:b w:val="false"/>
          <w:i w:val="false"/>
          <w:color w:val="000000"/>
          <w:sz w:val="28"/>
        </w:rPr>
        <w:t>
      "55-2. Ожидаемая изменчивость отклонения доходности портфеля акций (ex-ante tracking error) с учетом входящих в него производных финансовых инструментов не превышает 3,75 (три целых семьдесят пять сотых) процентов годовых.</w:t>
      </w:r>
    </w:p>
    <w:bookmarkEnd w:id="66"/>
    <w:bookmarkStart w:name="z87" w:id="67"/>
    <w:p>
      <w:pPr>
        <w:spacing w:after="0"/>
        <w:ind w:left="0"/>
        <w:jc w:val="both"/>
      </w:pPr>
      <w:r>
        <w:rPr>
          <w:rFonts w:ascii="Times New Roman"/>
          <w:b w:val="false"/>
          <w:i w:val="false"/>
          <w:color w:val="000000"/>
          <w:sz w:val="28"/>
        </w:rPr>
        <w:t>
      В случае превышения ограничения, предусмотренного частью первой настоящего пункта, Национальный Банк устраняет несоответствие в срок не более 15 (пятнадцати) рабочих дней со дня превышения.";</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56-8 изложить в следующей редакции:</w:t>
      </w:r>
    </w:p>
    <w:bookmarkStart w:name="z89" w:id="68"/>
    <w:p>
      <w:pPr>
        <w:spacing w:after="0"/>
        <w:ind w:left="0"/>
        <w:jc w:val="both"/>
      </w:pPr>
      <w:r>
        <w:rPr>
          <w:rFonts w:ascii="Times New Roman"/>
          <w:b w:val="false"/>
          <w:i w:val="false"/>
          <w:color w:val="000000"/>
          <w:sz w:val="28"/>
        </w:rPr>
        <w:t>
      "2) внешнего золота в виде слитков, размещаемых на металлических счетах, открытых за пределами Республики Казахстан.";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изложить в следующей редакции:</w:t>
      </w:r>
    </w:p>
    <w:bookmarkStart w:name="z91" w:id="69"/>
    <w:p>
      <w:pPr>
        <w:spacing w:after="0"/>
        <w:ind w:left="0"/>
        <w:jc w:val="both"/>
      </w:pPr>
      <w:r>
        <w:rPr>
          <w:rFonts w:ascii="Times New Roman"/>
          <w:b w:val="false"/>
          <w:i w:val="false"/>
          <w:color w:val="000000"/>
          <w:sz w:val="28"/>
        </w:rPr>
        <w:t>
      "59. Один кастодиан имеет на хранении активы клиентов на минимальную сумму, эквивалентную 3 (трем) триллионам долларов США.</w:t>
      </w:r>
    </w:p>
    <w:bookmarkEnd w:id="69"/>
    <w:bookmarkStart w:name="z92" w:id="70"/>
    <w:p>
      <w:pPr>
        <w:spacing w:after="0"/>
        <w:ind w:left="0"/>
        <w:jc w:val="both"/>
      </w:pPr>
      <w:r>
        <w:rPr>
          <w:rFonts w:ascii="Times New Roman"/>
          <w:b w:val="false"/>
          <w:i w:val="false"/>
          <w:color w:val="000000"/>
          <w:sz w:val="28"/>
        </w:rPr>
        <w:t>
      60. Глобальный кастодиан представляет Национальному Банку доступ к системе on-line отчетности для мониторинга за активами Фонда.";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и </w:t>
      </w:r>
      <w:r>
        <w:rPr>
          <w:rFonts w:ascii="Times New Roman"/>
          <w:b w:val="false"/>
          <w:i w:val="false"/>
          <w:color w:val="000000"/>
          <w:sz w:val="28"/>
        </w:rPr>
        <w:t>63-3</w:t>
      </w:r>
      <w:r>
        <w:rPr>
          <w:rFonts w:ascii="Times New Roman"/>
          <w:b w:val="false"/>
          <w:i w:val="false"/>
          <w:color w:val="000000"/>
          <w:sz w:val="28"/>
        </w:rPr>
        <w:t xml:space="preserve"> изложить в следующей редакции:</w:t>
      </w:r>
    </w:p>
    <w:bookmarkStart w:name="z94" w:id="71"/>
    <w:p>
      <w:pPr>
        <w:spacing w:after="0"/>
        <w:ind w:left="0"/>
        <w:jc w:val="both"/>
      </w:pPr>
      <w:r>
        <w:rPr>
          <w:rFonts w:ascii="Times New Roman"/>
          <w:b w:val="false"/>
          <w:i w:val="false"/>
          <w:color w:val="000000"/>
          <w:sz w:val="28"/>
        </w:rPr>
        <w:t>
      "62. Рыночная стоимость активов Фонда, передаваемых одному кастодиану, не превышает эквивалент 25 (двадцати пяти) миллиардов долларов США, если иное не предусмотрено решением Правления Национального Банка.</w:t>
      </w:r>
    </w:p>
    <w:bookmarkEnd w:id="71"/>
    <w:bookmarkStart w:name="z95" w:id="72"/>
    <w:p>
      <w:pPr>
        <w:spacing w:after="0"/>
        <w:ind w:left="0"/>
        <w:jc w:val="both"/>
      </w:pPr>
      <w:r>
        <w:rPr>
          <w:rFonts w:ascii="Times New Roman"/>
          <w:b w:val="false"/>
          <w:i w:val="false"/>
          <w:color w:val="000000"/>
          <w:sz w:val="28"/>
        </w:rPr>
        <w:t>
      63. Структурные продукты используются для хеджирования рисков и увеличения доходности.</w:t>
      </w:r>
    </w:p>
    <w:bookmarkEnd w:id="72"/>
    <w:bookmarkStart w:name="z96" w:id="73"/>
    <w:p>
      <w:pPr>
        <w:spacing w:after="0"/>
        <w:ind w:left="0"/>
        <w:jc w:val="both"/>
      </w:pPr>
      <w:r>
        <w:rPr>
          <w:rFonts w:ascii="Times New Roman"/>
          <w:b w:val="false"/>
          <w:i w:val="false"/>
          <w:color w:val="000000"/>
          <w:sz w:val="28"/>
        </w:rPr>
        <w:t>
      63-1. Допускаются к приобретению структурные продукты, эмитируемые международными финансовыми организациями и суверенными агентствами, с рейтингом эмитента не ниже A+ (Standard&amp;Poor’s)/А1 (Moody’s).</w:t>
      </w:r>
    </w:p>
    <w:bookmarkEnd w:id="73"/>
    <w:bookmarkStart w:name="z97" w:id="74"/>
    <w:p>
      <w:pPr>
        <w:spacing w:after="0"/>
        <w:ind w:left="0"/>
        <w:jc w:val="both"/>
      </w:pPr>
      <w:r>
        <w:rPr>
          <w:rFonts w:ascii="Times New Roman"/>
          <w:b w:val="false"/>
          <w:i w:val="false"/>
          <w:color w:val="000000"/>
          <w:sz w:val="28"/>
        </w:rPr>
        <w:t>
      63-2. Приобретение структурных продуктов, по которым денежные потоки и (или) основная сумма погашения привязана к валютным, сырьевым рынкам и (или) к рынкам акций, либо к кредитным событиям не допускается.</w:t>
      </w:r>
    </w:p>
    <w:bookmarkEnd w:id="74"/>
    <w:bookmarkStart w:name="z98" w:id="75"/>
    <w:p>
      <w:pPr>
        <w:spacing w:after="0"/>
        <w:ind w:left="0"/>
        <w:jc w:val="both"/>
      </w:pPr>
      <w:r>
        <w:rPr>
          <w:rFonts w:ascii="Times New Roman"/>
          <w:b w:val="false"/>
          <w:i w:val="false"/>
          <w:color w:val="000000"/>
          <w:sz w:val="28"/>
        </w:rPr>
        <w:t>
      63-3. Приобретение структурного продукта допускается, если по нему имеется рыночная переоценка.";</w:t>
      </w:r>
    </w:p>
    <w:bookmarkEnd w:id="75"/>
    <w:bookmarkStart w:name="z99" w:id="76"/>
    <w:p>
      <w:pPr>
        <w:spacing w:after="0"/>
        <w:ind w:left="0"/>
        <w:jc w:val="both"/>
      </w:pPr>
      <w:r>
        <w:rPr>
          <w:rFonts w:ascii="Times New Roman"/>
          <w:b w:val="false"/>
          <w:i w:val="false"/>
          <w:color w:val="000000"/>
          <w:sz w:val="28"/>
        </w:rPr>
        <w:t xml:space="preserve">
      в заголовок </w:t>
      </w:r>
      <w:r>
        <w:rPr>
          <w:rFonts w:ascii="Times New Roman"/>
          <w:b w:val="false"/>
          <w:i w:val="false"/>
          <w:color w:val="000000"/>
          <w:sz w:val="28"/>
        </w:rPr>
        <w:t>Главы 8-1</w:t>
      </w:r>
      <w:r>
        <w:rPr>
          <w:rFonts w:ascii="Times New Roman"/>
          <w:b w:val="false"/>
          <w:i w:val="false"/>
          <w:color w:val="000000"/>
          <w:sz w:val="28"/>
        </w:rPr>
        <w:t xml:space="preserve"> внесено изменение на казахском языке, текст на русском языке не меняется;</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70-1</w:t>
      </w:r>
      <w:r>
        <w:rPr>
          <w:rFonts w:ascii="Times New Roman"/>
          <w:b w:val="false"/>
          <w:i w:val="false"/>
          <w:color w:val="000000"/>
          <w:sz w:val="28"/>
        </w:rPr>
        <w:t xml:space="preserve"> и </w:t>
      </w:r>
      <w:r>
        <w:rPr>
          <w:rFonts w:ascii="Times New Roman"/>
          <w:b w:val="false"/>
          <w:i w:val="false"/>
          <w:color w:val="000000"/>
          <w:sz w:val="28"/>
        </w:rPr>
        <w:t>70-2</w:t>
      </w:r>
      <w:r>
        <w:rPr>
          <w:rFonts w:ascii="Times New Roman"/>
          <w:b w:val="false"/>
          <w:i w:val="false"/>
          <w:color w:val="000000"/>
          <w:sz w:val="28"/>
        </w:rPr>
        <w:t xml:space="preserve"> изложить в следующей редакции:</w:t>
      </w:r>
    </w:p>
    <w:bookmarkStart w:name="z101" w:id="77"/>
    <w:p>
      <w:pPr>
        <w:spacing w:after="0"/>
        <w:ind w:left="0"/>
        <w:jc w:val="both"/>
      </w:pPr>
      <w:r>
        <w:rPr>
          <w:rFonts w:ascii="Times New Roman"/>
          <w:b w:val="false"/>
          <w:i w:val="false"/>
          <w:color w:val="000000"/>
          <w:sz w:val="28"/>
        </w:rPr>
        <w:t>
      "70-1. Операции по предоставлению ценных бумаг взаймы под залог (securities lending) осуществляются в соответствии с программами кастодианов, по которым кастодиан выступает в качестве заемщика ценных бумаг или заемщиком выступает юридическое лицо, входящее с кастодианом в группу компаний, на условиях возвратности или возмещения кастодианом стоимости ценных бумаг, предоставленных взаймы под залог.</w:t>
      </w:r>
    </w:p>
    <w:bookmarkEnd w:id="77"/>
    <w:bookmarkStart w:name="z102" w:id="78"/>
    <w:p>
      <w:pPr>
        <w:spacing w:after="0"/>
        <w:ind w:left="0"/>
        <w:jc w:val="both"/>
      </w:pPr>
      <w:r>
        <w:rPr>
          <w:rFonts w:ascii="Times New Roman"/>
          <w:b w:val="false"/>
          <w:i w:val="false"/>
          <w:color w:val="000000"/>
          <w:sz w:val="28"/>
        </w:rPr>
        <w:t>
      70-2. В качестве залога по операциям по предоставлению ценных бумаг взаймы под залог (securities lending) принимаются ценные бумаги с минимальным кредитным рейтингом не ниже A+ (Standard&amp;Poor’s)/А1 (Moody’s) или аналогичным кредитным рейтингом других международных рейтинговых агентств, рыночная стоимость которых на момент открытия сделки составляет не менее 102 (ста двух) процентов от рыночной стоимости ценной бумаги, предоставляемой взаймы под залог (securities lending).</w:t>
      </w:r>
    </w:p>
    <w:bookmarkEnd w:id="78"/>
    <w:bookmarkStart w:name="z103" w:id="79"/>
    <w:p>
      <w:pPr>
        <w:spacing w:after="0"/>
        <w:ind w:left="0"/>
        <w:jc w:val="both"/>
      </w:pPr>
      <w:r>
        <w:rPr>
          <w:rFonts w:ascii="Times New Roman"/>
          <w:b w:val="false"/>
          <w:i w:val="false"/>
          <w:color w:val="000000"/>
          <w:sz w:val="28"/>
        </w:rPr>
        <w:t>
      В качестве залога по операциям по предоставлению ценных бумаг взаймы под залог (securities lending) не принимаются ценные бумаги под залог недвижимости (MBS) и ценные бумаги под залог активов (ABS), ценные бумаги, номинированные в валютах, отличных от валют стабилизационного и сберегательного портфелей.</w:t>
      </w:r>
    </w:p>
    <w:bookmarkEnd w:id="79"/>
    <w:bookmarkStart w:name="z104" w:id="80"/>
    <w:p>
      <w:pPr>
        <w:spacing w:after="0"/>
        <w:ind w:left="0"/>
        <w:jc w:val="both"/>
      </w:pPr>
      <w:r>
        <w:rPr>
          <w:rFonts w:ascii="Times New Roman"/>
          <w:b w:val="false"/>
          <w:i w:val="false"/>
          <w:color w:val="000000"/>
          <w:sz w:val="28"/>
        </w:rPr>
        <w:t>
      Деньги в валютах стабилизационного и сберегательного портфелей принимаются в качестве залога на срок, необходимый для предоставления заемщиком Национальному Банку ценных бумаг в залог.</w:t>
      </w:r>
    </w:p>
    <w:bookmarkEnd w:id="80"/>
    <w:bookmarkStart w:name="z105" w:id="81"/>
    <w:p>
      <w:pPr>
        <w:spacing w:after="0"/>
        <w:ind w:left="0"/>
        <w:jc w:val="both"/>
      </w:pPr>
      <w:r>
        <w:rPr>
          <w:rFonts w:ascii="Times New Roman"/>
          <w:b w:val="false"/>
          <w:i w:val="false"/>
          <w:color w:val="000000"/>
          <w:sz w:val="28"/>
        </w:rPr>
        <w:t>
      Деньги в валютах стабилизационного и сберегательного портфелей принимаются также в качестве залога в случае неисполнения заемщиком обязательств по возврату ценных бумаг, предоставленных Национальным Банком взаймы, на срок до предоставления заемщиком Национальному Банку эквивалентных ценных бумаг, либо на срок до исполнения заемщиком своих обязательств перед Национальным Банком иным способом по соглашению сторон. Под эквивалентными ценными бумагами понимаются ценные бумаги того же эмитента, выпуска и номинальной стоимости (применительно к облигациям) или количеством (применительно к акциям), что и ценные бумаги, предоставленные взаймы.";</w:t>
      </w:r>
    </w:p>
    <w:bookmarkEnd w:id="81"/>
    <w:bookmarkStart w:name="z106"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пункты 70-3</w:t>
      </w:r>
      <w:r>
        <w:rPr>
          <w:rFonts w:ascii="Times New Roman"/>
          <w:b w:val="false"/>
          <w:i w:val="false"/>
          <w:color w:val="000000"/>
          <w:sz w:val="28"/>
        </w:rPr>
        <w:t xml:space="preserve"> и </w:t>
      </w:r>
      <w:r>
        <w:rPr>
          <w:rFonts w:ascii="Times New Roman"/>
          <w:b w:val="false"/>
          <w:i w:val="false"/>
          <w:color w:val="000000"/>
          <w:sz w:val="28"/>
        </w:rPr>
        <w:t>70-4</w:t>
      </w:r>
      <w:r>
        <w:rPr>
          <w:rFonts w:ascii="Times New Roman"/>
          <w:b w:val="false"/>
          <w:i w:val="false"/>
          <w:color w:val="000000"/>
          <w:sz w:val="28"/>
        </w:rPr>
        <w:t xml:space="preserve"> внесены изменения на казахском языке, текст на русском языке не меняется;</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Start w:name="z112" w:id="83"/>
    <w:p>
      <w:pPr>
        <w:spacing w:after="0"/>
        <w:ind w:left="0"/>
        <w:jc w:val="both"/>
      </w:pPr>
      <w:r>
        <w:rPr>
          <w:rFonts w:ascii="Times New Roman"/>
          <w:b w:val="false"/>
          <w:i w:val="false"/>
          <w:color w:val="000000"/>
          <w:sz w:val="28"/>
        </w:rPr>
        <w:t>
      2. Департаменту монетарных операций в установленном законодательством Республики Казахстан порядке обеспечить:</w:t>
      </w:r>
    </w:p>
    <w:bookmarkEnd w:id="83"/>
    <w:bookmarkStart w:name="z113" w:id="8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84"/>
    <w:bookmarkStart w:name="z114" w:id="8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5"/>
    <w:bookmarkStart w:name="z115" w:id="8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86"/>
    <w:bookmarkStart w:name="z116" w:id="87"/>
    <w:p>
      <w:pPr>
        <w:spacing w:after="0"/>
        <w:ind w:left="0"/>
        <w:jc w:val="both"/>
      </w:pPr>
      <w:r>
        <w:rPr>
          <w:rFonts w:ascii="Times New Roman"/>
          <w:b w:val="false"/>
          <w:i w:val="false"/>
          <w:color w:val="000000"/>
          <w:sz w:val="28"/>
        </w:rPr>
        <w:t>
      3. Департаменту информации и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7"/>
    <w:bookmarkStart w:name="z117" w:id="88"/>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88"/>
    <w:bookmarkStart w:name="z118" w:id="8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8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Национального</w:t>
            </w:r>
            <w:r>
              <w:br/>
            </w:r>
            <w:r>
              <w:rPr>
                <w:rFonts w:ascii="Times New Roman"/>
                <w:b w:val="false"/>
                <w:i/>
                <w:color w:val="000000"/>
                <w:sz w:val="20"/>
              </w:rPr>
              <w:t xml:space="preserve">Банка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120" w:id="9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21 апреля 2020 года № 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осуществления инвестиционных</w:t>
            </w:r>
            <w:r>
              <w:br/>
            </w:r>
            <w:r>
              <w:rPr>
                <w:rFonts w:ascii="Times New Roman"/>
                <w:b w:val="false"/>
                <w:i w:val="false"/>
                <w:color w:val="000000"/>
                <w:sz w:val="20"/>
              </w:rPr>
              <w:t>операций Национального фонда</w:t>
            </w:r>
            <w:r>
              <w:br/>
            </w:r>
            <w:r>
              <w:rPr>
                <w:rFonts w:ascii="Times New Roman"/>
                <w:b w:val="false"/>
                <w:i w:val="false"/>
                <w:color w:val="000000"/>
                <w:sz w:val="20"/>
              </w:rPr>
              <w:t>Республики Казахстан</w:t>
            </w:r>
          </w:p>
        </w:tc>
      </w:tr>
    </w:tbl>
    <w:bookmarkStart w:name="z123" w:id="91"/>
    <w:p>
      <w:pPr>
        <w:spacing w:after="0"/>
        <w:ind w:left="0"/>
        <w:jc w:val="left"/>
      </w:pPr>
      <w:r>
        <w:rPr>
          <w:rFonts w:ascii="Times New Roman"/>
          <w:b/>
          <w:i w:val="false"/>
          <w:color w:val="000000"/>
        </w:rPr>
        <w:t xml:space="preserve"> Секторное распределение стабилизационного портфеля</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1"/>
        <w:gridCol w:w="1962"/>
        <w:gridCol w:w="2387"/>
      </w:tblGrid>
      <w:tr>
        <w:trPr>
          <w:trHeight w:val="30" w:hRule="atLeast"/>
        </w:trPr>
        <w:tc>
          <w:tcPr>
            <w:tcW w:w="7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(для производных финансовых инструментов используется рыночная стоимость лежащих в их основе финансовых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(в процентах)</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(в процентах)</w:t>
            </w:r>
          </w:p>
        </w:tc>
      </w:tr>
      <w:tr>
        <w:trPr>
          <w:trHeight w:val="30" w:hRule="atLeast"/>
        </w:trPr>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(остатки на текущих счетах; деньги, размещенные в фонды денежного рынка с возможностью возврата на следующий рабочий день), государственные ценные бумаги стран, входящих в эталонный портфель</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100</w:t>
            </w:r>
          </w:p>
        </w:tc>
      </w:tr>
      <w:tr>
        <w:trPr>
          <w:trHeight w:val="30" w:hRule="atLeast"/>
        </w:trPr>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стран, не входящих в эталонный индекс, агентские долговые обязательства, долговые обязательства международных финансовых организаций, муниципальные долговые обязательства стран, входящих в эталонный портфель</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(вклады), в том числе деньги, размещенные на депозиты (вклады) от операций репо</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коммерческие ценные бумаги, депозитные сертификаты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инвестиционных операций</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126" w:id="92"/>
    <w:p>
      <w:pPr>
        <w:spacing w:after="0"/>
        <w:ind w:left="0"/>
        <w:jc w:val="left"/>
      </w:pPr>
      <w:r>
        <w:rPr>
          <w:rFonts w:ascii="Times New Roman"/>
          <w:b/>
          <w:i w:val="false"/>
          <w:color w:val="000000"/>
        </w:rPr>
        <w:t xml:space="preserve"> План перехода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1479"/>
        <w:gridCol w:w="1479"/>
        <w:gridCol w:w="1480"/>
        <w:gridCol w:w="2010"/>
        <w:gridCol w:w="1219"/>
        <w:gridCol w:w="209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доли портфелей в составе сберегательного портфеля на конец каждого года (в процентах)</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Облигации</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развитых стран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Альтернативные инструменты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развитых стран</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развивающихся стран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 выше</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 выше</w:t>
            </w:r>
          </w:p>
        </w:tc>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4-5</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и выше</w:t>
            </w:r>
          </w:p>
        </w:tc>
        <w:tc>
          <w:tcPr>
            <w:tcW w:w="0" w:type="auto"/>
            <w:vMerge/>
            <w:tcBorders>
              <w:top w:val="nil"/>
              <w:left w:val="single" w:color="cfcfcf" w:sz="5"/>
              <w:bottom w:val="single" w:color="cfcfcf" w:sz="5"/>
              <w:right w:val="single" w:color="cfcfcf" w:sz="5"/>
            </w:tcBorders>
          </w:tcP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осуществления инвестиционных</w:t>
            </w:r>
            <w:r>
              <w:br/>
            </w:r>
            <w:r>
              <w:rPr>
                <w:rFonts w:ascii="Times New Roman"/>
                <w:b w:val="false"/>
                <w:i w:val="false"/>
                <w:color w:val="000000"/>
                <w:sz w:val="20"/>
              </w:rPr>
              <w:t>операций</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129" w:id="93"/>
    <w:p>
      <w:pPr>
        <w:spacing w:after="0"/>
        <w:ind w:left="0"/>
        <w:jc w:val="left"/>
      </w:pPr>
      <w:r>
        <w:rPr>
          <w:rFonts w:ascii="Times New Roman"/>
          <w:b/>
          <w:i w:val="false"/>
          <w:color w:val="000000"/>
        </w:rPr>
        <w:t xml:space="preserve"> Секторное распределение портфеля государственных облигаций развитых стран</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7"/>
        <w:gridCol w:w="1689"/>
        <w:gridCol w:w="2054"/>
      </w:tblGrid>
      <w:tr>
        <w:trPr>
          <w:trHeight w:val="30" w:hRule="atLeast"/>
        </w:trPr>
        <w:tc>
          <w:tcPr>
            <w:tcW w:w="8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(для производных финансовых инструментов используется рыночная стоимость лежащих в их основе финансовых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(в процентах)</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(в процентах)</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(остатки на текущих счетах, деньги, размещенные в фонды денежного рынка с возможностью возврата на следующий рабочий день), государственные (суверенные) долговые обязательства и агентские долговые обязательства стран, входящих в эталонный портфель</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обязательства международных финансовых организаций</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(суверенные) долговые обязательства, агентские долговые обязательства стран, не входящих в эталонный портфель, муниципальные долговые обязательства стран, входящих в эталонный портфель</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(вклады), в том числе деньги, размещенные на депозиты (вклады) от операций репо</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(регулируются ограничением по Tracking Error)</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продукты (не включая ценные бумаги под залог недвижимости (MBS), ценные бумаги под залог активов (ABS))</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под залог недвижимости (MBS) и ценные бумаги под залог активов (ABS)</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8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и коммерческие ценные бумаги, депозитные сертификаты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постановлению</w:t>
            </w:r>
            <w:r>
              <w:br/>
            </w:r>
            <w:r>
              <w:rPr>
                <w:rFonts w:ascii="Times New Roman"/>
                <w:b w:val="false"/>
                <w:i w:val="false"/>
                <w:color w:val="000000"/>
                <w:sz w:val="20"/>
              </w:rPr>
              <w:t>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 к Правилам</w:t>
            </w:r>
            <w:r>
              <w:br/>
            </w:r>
            <w:r>
              <w:rPr>
                <w:rFonts w:ascii="Times New Roman"/>
                <w:b w:val="false"/>
                <w:i w:val="false"/>
                <w:color w:val="000000"/>
                <w:sz w:val="20"/>
              </w:rPr>
              <w:t>осуществления инвестиционных</w:t>
            </w:r>
            <w:r>
              <w:br/>
            </w:r>
            <w:r>
              <w:rPr>
                <w:rFonts w:ascii="Times New Roman"/>
                <w:b w:val="false"/>
                <w:i w:val="false"/>
                <w:color w:val="000000"/>
                <w:sz w:val="20"/>
              </w:rPr>
              <w:t>операций</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132" w:id="94"/>
    <w:p>
      <w:pPr>
        <w:spacing w:after="0"/>
        <w:ind w:left="0"/>
        <w:jc w:val="left"/>
      </w:pPr>
      <w:r>
        <w:rPr>
          <w:rFonts w:ascii="Times New Roman"/>
          <w:b/>
          <w:i w:val="false"/>
          <w:color w:val="000000"/>
        </w:rPr>
        <w:t xml:space="preserve"> Секторное распределение портфеля государственных облигаций развивающихся стран отдельного управляющего</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3"/>
        <w:gridCol w:w="1894"/>
        <w:gridCol w:w="2303"/>
      </w:tblGrid>
      <w:tr>
        <w:trPr>
          <w:trHeight w:val="30" w:hRule="atLeast"/>
        </w:trPr>
        <w:tc>
          <w:tcPr>
            <w:tcW w:w="8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(для производных финансовых инструментов используется рыночная стоимость лежащих в их основе финансовых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(в процентах)</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(в процентах)</w:t>
            </w:r>
          </w:p>
        </w:tc>
      </w:tr>
      <w:tr>
        <w:trPr>
          <w:trHeight w:val="30" w:hRule="atLeast"/>
        </w:trPr>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(оставшаяся валюта на текущих счетах, финансовые активы, размещенные в фондах денежного рынка с возможностью возврата на следующий рабочий день), государственные ценные бумаги стран, входящих в эталонный портфель</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стран, не входящих в эталонный портфель, агентские долговые обязательства, долговые обязательства международных финансовых организаций</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(вклады)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(регулируются ограничением по Tracking Error)</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и коммерческие ценные бумаги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постановлению</w:t>
            </w:r>
            <w:r>
              <w:br/>
            </w:r>
            <w:r>
              <w:rPr>
                <w:rFonts w:ascii="Times New Roman"/>
                <w:b w:val="false"/>
                <w:i w:val="false"/>
                <w:color w:val="000000"/>
                <w:sz w:val="20"/>
              </w:rPr>
              <w:t>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апреля 2020 года № 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 к Правилам</w:t>
            </w:r>
            <w:r>
              <w:br/>
            </w:r>
            <w:r>
              <w:rPr>
                <w:rFonts w:ascii="Times New Roman"/>
                <w:b w:val="false"/>
                <w:i w:val="false"/>
                <w:color w:val="000000"/>
                <w:sz w:val="20"/>
              </w:rPr>
              <w:t>осуществления инвестиционных</w:t>
            </w:r>
            <w:r>
              <w:br/>
            </w:r>
            <w:r>
              <w:rPr>
                <w:rFonts w:ascii="Times New Roman"/>
                <w:b w:val="false"/>
                <w:i w:val="false"/>
                <w:color w:val="000000"/>
                <w:sz w:val="20"/>
              </w:rPr>
              <w:t>операций</w:t>
            </w:r>
            <w:r>
              <w:br/>
            </w:r>
            <w:r>
              <w:rPr>
                <w:rFonts w:ascii="Times New Roman"/>
                <w:b w:val="false"/>
                <w:i w:val="false"/>
                <w:color w:val="000000"/>
                <w:sz w:val="20"/>
              </w:rPr>
              <w:t>Национального фонда</w:t>
            </w:r>
            <w:r>
              <w:br/>
            </w:r>
            <w:r>
              <w:rPr>
                <w:rFonts w:ascii="Times New Roman"/>
                <w:b w:val="false"/>
                <w:i w:val="false"/>
                <w:color w:val="000000"/>
                <w:sz w:val="20"/>
              </w:rPr>
              <w:t>Республики Казахстан</w:t>
            </w:r>
          </w:p>
        </w:tc>
      </w:tr>
    </w:tbl>
    <w:bookmarkStart w:name="z135" w:id="95"/>
    <w:p>
      <w:pPr>
        <w:spacing w:after="0"/>
        <w:ind w:left="0"/>
        <w:jc w:val="left"/>
      </w:pPr>
      <w:r>
        <w:rPr>
          <w:rFonts w:ascii="Times New Roman"/>
          <w:b/>
          <w:i w:val="false"/>
          <w:color w:val="000000"/>
        </w:rPr>
        <w:t xml:space="preserve"> Секторное распределение портфеля корпоративных облигаций</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8"/>
        <w:gridCol w:w="1937"/>
        <w:gridCol w:w="2355"/>
      </w:tblGrid>
      <w:tr>
        <w:trPr>
          <w:trHeight w:val="30" w:hRule="atLeast"/>
        </w:trPr>
        <w:tc>
          <w:tcPr>
            <w:tcW w:w="8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(для производных финансовых инструментов используется рыночная стоимость лежащих в их основе финансовых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минимум (в процентах)</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максимум (в процентах)</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(оставшаяся валюта на текущих счетах, финансовые активы, размещенные в фондах денежного рынка с возможностью возврата на следующий рабочий день)</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входящие в эталонный портфель</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Корпоративные ценные бумаги, не входящие в эталонный портфель</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долговые обязательства стран, входящих в эталонный портфель, агентские долговые обязательства, долговые обязательства международных финансовых организаций</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(вклады)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 (регулируются ограничением по Tracking Error)</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